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F2DA6">
      <w:pPr>
        <w:spacing w:line="2600" w:lineRule="exact"/>
        <w:jc w:val="center"/>
      </w:pPr>
      <w:r>
        <w:rPr>
          <w:rFonts w:ascii="方正小标宋简体" w:hAnsi="方正小标宋简体" w:eastAsia="方正小标宋简体" w:cs="方正小标宋简体"/>
          <w:b/>
          <w:color w:val="000000"/>
          <w:sz w:val="48"/>
        </w:rPr>
        <w:t>天津市西青区辛口镇综合执法大队</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0604BF04">
      <w:pPr>
        <w:pageBreakBefore/>
        <w:spacing w:line="560" w:lineRule="exact"/>
        <w:jc w:val="center"/>
      </w:pPr>
      <w:r>
        <w:rPr>
          <w:rFonts w:ascii="黑体" w:hAnsi="黑体" w:eastAsia="黑体" w:cs="黑体"/>
          <w:b/>
          <w:color w:val="000000"/>
          <w:sz w:val="44"/>
        </w:rPr>
        <w:t>目    录</w:t>
      </w:r>
    </w:p>
    <w:p w14:paraId="69A0A3F0">
      <w:pPr>
        <w:spacing w:line="560" w:lineRule="exact"/>
        <w:ind w:firstLine="900"/>
      </w:pPr>
      <w:r>
        <w:rPr>
          <w:rFonts w:ascii="仿宋" w:hAnsi="仿宋" w:eastAsia="仿宋" w:cs="仿宋"/>
          <w:b/>
          <w:color w:val="000000"/>
          <w:sz w:val="30"/>
        </w:rPr>
        <w:t>第一部分  概况</w:t>
      </w:r>
    </w:p>
    <w:p w14:paraId="1280121C">
      <w:pPr>
        <w:spacing w:line="560" w:lineRule="exact"/>
        <w:ind w:firstLine="900"/>
      </w:pPr>
      <w:r>
        <w:rPr>
          <w:rFonts w:ascii="仿宋" w:hAnsi="仿宋" w:eastAsia="仿宋" w:cs="仿宋"/>
          <w:color w:val="000000"/>
          <w:sz w:val="30"/>
        </w:rPr>
        <w:t>一、主要职责</w:t>
      </w:r>
    </w:p>
    <w:p w14:paraId="500EB376">
      <w:pPr>
        <w:spacing w:line="560" w:lineRule="exact"/>
        <w:ind w:firstLine="900"/>
      </w:pPr>
      <w:r>
        <w:rPr>
          <w:rFonts w:ascii="仿宋" w:hAnsi="仿宋" w:eastAsia="仿宋" w:cs="仿宋"/>
          <w:color w:val="000000"/>
          <w:sz w:val="30"/>
        </w:rPr>
        <w:t>二、机构设置情况</w:t>
      </w:r>
    </w:p>
    <w:p w14:paraId="2014412A">
      <w:pPr>
        <w:spacing w:line="560" w:lineRule="exact"/>
        <w:ind w:firstLine="900"/>
      </w:pPr>
      <w:r>
        <w:rPr>
          <w:rFonts w:ascii="仿宋" w:hAnsi="仿宋" w:eastAsia="仿宋" w:cs="仿宋"/>
          <w:b/>
          <w:color w:val="000000"/>
          <w:sz w:val="30"/>
        </w:rPr>
        <w:t>第二部分  2025年单位情况说明</w:t>
      </w:r>
    </w:p>
    <w:p w14:paraId="28AA3F1A">
      <w:pPr>
        <w:spacing w:line="560" w:lineRule="exact"/>
        <w:ind w:firstLine="900"/>
      </w:pPr>
      <w:r>
        <w:rPr>
          <w:rFonts w:ascii="仿宋" w:hAnsi="仿宋" w:eastAsia="仿宋" w:cs="仿宋"/>
          <w:color w:val="000000"/>
          <w:sz w:val="30"/>
        </w:rPr>
        <w:t>一、关于收支总体情况表的说明</w:t>
      </w:r>
    </w:p>
    <w:p w14:paraId="64BC9EA7">
      <w:pPr>
        <w:spacing w:line="560" w:lineRule="exact"/>
        <w:ind w:firstLine="900"/>
      </w:pPr>
      <w:r>
        <w:rPr>
          <w:rFonts w:ascii="仿宋" w:hAnsi="仿宋" w:eastAsia="仿宋" w:cs="仿宋"/>
          <w:color w:val="000000"/>
          <w:sz w:val="30"/>
        </w:rPr>
        <w:t>二、关于收入总体情况表的说明</w:t>
      </w:r>
    </w:p>
    <w:p w14:paraId="6984AFB3">
      <w:pPr>
        <w:spacing w:line="560" w:lineRule="exact"/>
        <w:ind w:firstLine="900"/>
      </w:pPr>
      <w:r>
        <w:rPr>
          <w:rFonts w:ascii="仿宋" w:hAnsi="仿宋" w:eastAsia="仿宋" w:cs="仿宋"/>
          <w:color w:val="000000"/>
          <w:sz w:val="30"/>
        </w:rPr>
        <w:t>三、关于支出总体情况表的说明</w:t>
      </w:r>
    </w:p>
    <w:p w14:paraId="2CA329DC">
      <w:pPr>
        <w:spacing w:line="560" w:lineRule="exact"/>
        <w:ind w:firstLine="900"/>
      </w:pPr>
      <w:r>
        <w:rPr>
          <w:rFonts w:ascii="仿宋" w:hAnsi="仿宋" w:eastAsia="仿宋" w:cs="仿宋"/>
          <w:color w:val="000000"/>
          <w:sz w:val="30"/>
        </w:rPr>
        <w:t>四、关于财政拨款收支总体情况表的说明</w:t>
      </w:r>
    </w:p>
    <w:p w14:paraId="6C5FBC9A">
      <w:pPr>
        <w:spacing w:line="560" w:lineRule="exact"/>
        <w:ind w:firstLine="900"/>
      </w:pPr>
      <w:r>
        <w:rPr>
          <w:rFonts w:ascii="仿宋" w:hAnsi="仿宋" w:eastAsia="仿宋" w:cs="仿宋"/>
          <w:color w:val="000000"/>
          <w:sz w:val="30"/>
        </w:rPr>
        <w:t>五、关于一般公共预算支出情况表的说明</w:t>
      </w:r>
    </w:p>
    <w:p w14:paraId="6EF08E1C">
      <w:pPr>
        <w:spacing w:line="560" w:lineRule="exact"/>
        <w:ind w:firstLine="900"/>
      </w:pPr>
      <w:r>
        <w:rPr>
          <w:rFonts w:ascii="仿宋" w:hAnsi="仿宋" w:eastAsia="仿宋" w:cs="仿宋"/>
          <w:color w:val="000000"/>
          <w:sz w:val="30"/>
        </w:rPr>
        <w:t>六、关于一般公共预算基本支出情况表的说明</w:t>
      </w:r>
    </w:p>
    <w:p w14:paraId="5084D94B">
      <w:pPr>
        <w:spacing w:line="560" w:lineRule="exact"/>
        <w:ind w:firstLine="900"/>
      </w:pPr>
      <w:r>
        <w:rPr>
          <w:rFonts w:ascii="仿宋" w:hAnsi="仿宋" w:eastAsia="仿宋" w:cs="仿宋"/>
          <w:color w:val="000000"/>
          <w:sz w:val="30"/>
        </w:rPr>
        <w:t>七、关于一般公共预算“三公”经费支出情况表的说明</w:t>
      </w:r>
    </w:p>
    <w:p w14:paraId="4613F91B">
      <w:pPr>
        <w:spacing w:line="560" w:lineRule="exact"/>
        <w:ind w:firstLine="900"/>
      </w:pPr>
      <w:r>
        <w:rPr>
          <w:rFonts w:ascii="仿宋" w:hAnsi="仿宋" w:eastAsia="仿宋" w:cs="仿宋"/>
          <w:color w:val="000000"/>
          <w:sz w:val="30"/>
        </w:rPr>
        <w:t>八、关于政府性基金预算支出情况表的说明</w:t>
      </w:r>
    </w:p>
    <w:p w14:paraId="463D2E6A">
      <w:pPr>
        <w:spacing w:line="560" w:lineRule="exact"/>
        <w:ind w:firstLine="900"/>
      </w:pPr>
      <w:r>
        <w:rPr>
          <w:rFonts w:ascii="仿宋" w:hAnsi="仿宋" w:eastAsia="仿宋" w:cs="仿宋"/>
          <w:color w:val="000000"/>
          <w:sz w:val="30"/>
        </w:rPr>
        <w:t>九、关于国有资本经营预算支出情况表的说明</w:t>
      </w:r>
    </w:p>
    <w:p w14:paraId="34BE40A5">
      <w:pPr>
        <w:spacing w:line="560" w:lineRule="exact"/>
        <w:ind w:firstLine="900"/>
      </w:pPr>
      <w:r>
        <w:rPr>
          <w:rFonts w:ascii="仿宋" w:hAnsi="仿宋" w:eastAsia="仿宋" w:cs="仿宋"/>
          <w:color w:val="000000"/>
          <w:sz w:val="30"/>
        </w:rPr>
        <w:t>十、其他重要事项的情况说明</w:t>
      </w:r>
    </w:p>
    <w:p w14:paraId="7EE036CA">
      <w:pPr>
        <w:spacing w:line="560" w:lineRule="exact"/>
        <w:ind w:firstLine="900"/>
      </w:pPr>
      <w:r>
        <w:rPr>
          <w:rFonts w:ascii="仿宋" w:hAnsi="仿宋" w:eastAsia="仿宋" w:cs="仿宋"/>
          <w:b/>
          <w:color w:val="000000"/>
          <w:sz w:val="30"/>
        </w:rPr>
        <w:t>第三部分  名词解释</w:t>
      </w:r>
    </w:p>
    <w:p w14:paraId="77F4971C">
      <w:pPr>
        <w:spacing w:line="560" w:lineRule="exact"/>
        <w:ind w:firstLine="900"/>
      </w:pPr>
      <w:r>
        <w:rPr>
          <w:rFonts w:ascii="仿宋" w:hAnsi="仿宋" w:eastAsia="仿宋" w:cs="仿宋"/>
          <w:b/>
          <w:color w:val="000000"/>
          <w:sz w:val="30"/>
        </w:rPr>
        <w:t>第四部分  2025年单位预算表</w:t>
      </w:r>
    </w:p>
    <w:p w14:paraId="590BA744">
      <w:pPr>
        <w:spacing w:line="560" w:lineRule="exact"/>
        <w:ind w:firstLine="900"/>
      </w:pPr>
      <w:r>
        <w:rPr>
          <w:rFonts w:ascii="仿宋" w:hAnsi="仿宋" w:eastAsia="仿宋" w:cs="仿宋"/>
          <w:color w:val="000000"/>
          <w:sz w:val="30"/>
        </w:rPr>
        <w:t>一、部门收支总体情况表</w:t>
      </w:r>
    </w:p>
    <w:p w14:paraId="59452D38">
      <w:pPr>
        <w:spacing w:line="560" w:lineRule="exact"/>
        <w:ind w:firstLine="900"/>
      </w:pPr>
      <w:r>
        <w:rPr>
          <w:rFonts w:ascii="仿宋" w:hAnsi="仿宋" w:eastAsia="仿宋" w:cs="仿宋"/>
          <w:color w:val="000000"/>
          <w:sz w:val="30"/>
        </w:rPr>
        <w:t>二、部门收入总体情况表</w:t>
      </w:r>
    </w:p>
    <w:p w14:paraId="312A2B57">
      <w:pPr>
        <w:spacing w:line="560" w:lineRule="exact"/>
        <w:ind w:firstLine="900"/>
      </w:pPr>
      <w:r>
        <w:rPr>
          <w:rFonts w:ascii="仿宋" w:hAnsi="仿宋" w:eastAsia="仿宋" w:cs="仿宋"/>
          <w:color w:val="000000"/>
          <w:sz w:val="30"/>
        </w:rPr>
        <w:t>三、部门支出总体情况表</w:t>
      </w:r>
    </w:p>
    <w:p w14:paraId="2FDD14E7">
      <w:pPr>
        <w:spacing w:line="560" w:lineRule="exact"/>
        <w:ind w:firstLine="900"/>
      </w:pPr>
      <w:r>
        <w:rPr>
          <w:rFonts w:ascii="仿宋" w:hAnsi="仿宋" w:eastAsia="仿宋" w:cs="仿宋"/>
          <w:color w:val="000000"/>
          <w:sz w:val="30"/>
        </w:rPr>
        <w:t>四、财政拨款收支总体情况表</w:t>
      </w:r>
    </w:p>
    <w:p w14:paraId="1D71ED39">
      <w:pPr>
        <w:spacing w:line="560" w:lineRule="exact"/>
        <w:ind w:firstLine="900"/>
      </w:pPr>
      <w:r>
        <w:rPr>
          <w:rFonts w:ascii="仿宋" w:hAnsi="仿宋" w:eastAsia="仿宋" w:cs="仿宋"/>
          <w:color w:val="000000"/>
          <w:sz w:val="30"/>
        </w:rPr>
        <w:t>五、一般公共预算支出情况表</w:t>
      </w:r>
    </w:p>
    <w:p w14:paraId="52D045E5">
      <w:pPr>
        <w:spacing w:line="560" w:lineRule="exact"/>
        <w:ind w:firstLine="900"/>
      </w:pPr>
      <w:r>
        <w:rPr>
          <w:rFonts w:ascii="仿宋" w:hAnsi="仿宋" w:eastAsia="仿宋" w:cs="仿宋"/>
          <w:color w:val="000000"/>
          <w:sz w:val="30"/>
        </w:rPr>
        <w:t>六、一般公共预算基本支出情况表</w:t>
      </w:r>
    </w:p>
    <w:p w14:paraId="46E35D52">
      <w:pPr>
        <w:spacing w:line="560" w:lineRule="exact"/>
        <w:ind w:firstLine="900"/>
      </w:pPr>
      <w:r>
        <w:rPr>
          <w:rFonts w:ascii="仿宋" w:hAnsi="仿宋" w:eastAsia="仿宋" w:cs="仿宋"/>
          <w:color w:val="000000"/>
          <w:sz w:val="30"/>
        </w:rPr>
        <w:t>七、一般公共预算“三公”经费支出情况表</w:t>
      </w:r>
    </w:p>
    <w:p w14:paraId="023E3203">
      <w:pPr>
        <w:spacing w:line="560" w:lineRule="exact"/>
        <w:ind w:firstLine="900"/>
      </w:pPr>
      <w:r>
        <w:rPr>
          <w:rFonts w:ascii="仿宋" w:hAnsi="仿宋" w:eastAsia="仿宋" w:cs="仿宋"/>
          <w:color w:val="000000"/>
          <w:sz w:val="30"/>
        </w:rPr>
        <w:t>八、政府性基金预算支出情况表</w:t>
      </w:r>
    </w:p>
    <w:p w14:paraId="256D3848">
      <w:pPr>
        <w:spacing w:line="560" w:lineRule="exact"/>
        <w:ind w:firstLine="900"/>
      </w:pPr>
      <w:r>
        <w:rPr>
          <w:rFonts w:ascii="仿宋" w:hAnsi="仿宋" w:eastAsia="仿宋" w:cs="仿宋"/>
          <w:color w:val="000000"/>
          <w:sz w:val="30"/>
        </w:rPr>
        <w:t>九、国有资本经营预算支出情况表</w:t>
      </w:r>
    </w:p>
    <w:p w14:paraId="0F81FC6B">
      <w:pPr>
        <w:spacing w:line="560" w:lineRule="exact"/>
        <w:ind w:firstLine="900"/>
      </w:pPr>
      <w:r>
        <w:rPr>
          <w:rFonts w:ascii="仿宋" w:hAnsi="仿宋" w:eastAsia="仿宋" w:cs="仿宋"/>
          <w:color w:val="000000"/>
          <w:sz w:val="30"/>
        </w:rPr>
        <w:t>十、项目支出表</w:t>
      </w:r>
    </w:p>
    <w:p w14:paraId="446653EC">
      <w:pPr>
        <w:spacing w:line="560" w:lineRule="exact"/>
        <w:ind w:firstLine="900"/>
      </w:pPr>
      <w:r>
        <w:rPr>
          <w:rFonts w:ascii="仿宋" w:hAnsi="仿宋" w:eastAsia="仿宋" w:cs="仿宋"/>
          <w:color w:val="000000"/>
          <w:sz w:val="30"/>
        </w:rPr>
        <w:t>十一、关于空表的说明</w:t>
      </w:r>
    </w:p>
    <w:p w14:paraId="268C0C66">
      <w:pPr>
        <w:pageBreakBefore/>
        <w:spacing w:line="560" w:lineRule="exact"/>
        <w:jc w:val="center"/>
      </w:pPr>
      <w:r>
        <w:rPr>
          <w:rFonts w:ascii="方正小标宋简体" w:hAnsi="方正小标宋简体" w:eastAsia="方正小标宋简体" w:cs="方正小标宋简体"/>
          <w:b/>
          <w:color w:val="000000"/>
          <w:sz w:val="48"/>
        </w:rPr>
        <w:t>第一部分 概况</w:t>
      </w:r>
    </w:p>
    <w:p w14:paraId="4230409D">
      <w:pPr>
        <w:spacing w:line="560" w:lineRule="exact"/>
        <w:ind w:firstLine="600"/>
      </w:pPr>
      <w:r>
        <w:rPr>
          <w:rFonts w:ascii="黑体" w:hAnsi="黑体" w:eastAsia="黑体" w:cs="黑体"/>
          <w:b/>
          <w:color w:val="353232"/>
          <w:sz w:val="30"/>
        </w:rPr>
        <w:t>一、主要职责</w:t>
      </w:r>
    </w:p>
    <w:p w14:paraId="2DD907E2">
      <w:pPr>
        <w:spacing w:line="560" w:lineRule="exact"/>
        <w:ind w:firstLine="601"/>
        <w:jc w:val="left"/>
      </w:pPr>
      <w:r>
        <w:rPr>
          <w:rFonts w:ascii="仿宋" w:hAnsi="仿宋" w:eastAsia="仿宋" w:cs="仿宋"/>
          <w:color w:val="000000"/>
          <w:sz w:val="30"/>
        </w:rPr>
        <w:t>根据《天津市街道综合执法暂行办法》和《天津市城市管理相对集中行政处罚权》之规定，城市管理综合行政执法机关集中行使下列行政处罚权：</w:t>
      </w:r>
      <w:r>
        <w:rPr>
          <w:rFonts w:ascii="仿宋" w:hAnsi="仿宋" w:eastAsia="仿宋" w:cs="仿宋"/>
          <w:color w:val="000000"/>
          <w:sz w:val="30"/>
        </w:rPr>
        <w:br w:type="textWrapping"/>
      </w:r>
      <w:r>
        <w:rPr>
          <w:rFonts w:ascii="仿宋" w:hAnsi="仿宋" w:eastAsia="仿宋" w:cs="仿宋"/>
          <w:color w:val="000000"/>
          <w:sz w:val="30"/>
        </w:rPr>
        <w:t xml:space="preserve">    （1）市容环境卫生管理方面法律、法规、规章规定的全部行政处罚权，依法强制拆除不符合城市容貌标准、环境卫生标准的建筑物或者设施；</w:t>
      </w:r>
      <w:r>
        <w:rPr>
          <w:rFonts w:ascii="仿宋" w:hAnsi="仿宋" w:eastAsia="仿宋" w:cs="仿宋"/>
          <w:color w:val="000000"/>
          <w:sz w:val="30"/>
        </w:rPr>
        <w:br w:type="textWrapping"/>
      </w:r>
      <w:r>
        <w:rPr>
          <w:rFonts w:ascii="仿宋" w:hAnsi="仿宋" w:eastAsia="仿宋" w:cs="仿宋"/>
          <w:color w:val="000000"/>
          <w:sz w:val="30"/>
        </w:rPr>
        <w:t xml:space="preserve">    （2）城市园林绿化管理方面法律、法规、规章规定的全部行政处罚权；</w:t>
      </w:r>
      <w:r>
        <w:rPr>
          <w:rFonts w:ascii="仿宋" w:hAnsi="仿宋" w:eastAsia="仿宋" w:cs="仿宋"/>
          <w:color w:val="000000"/>
          <w:sz w:val="30"/>
        </w:rPr>
        <w:br w:type="textWrapping"/>
      </w:r>
      <w:r>
        <w:rPr>
          <w:rFonts w:ascii="仿宋" w:hAnsi="仿宋" w:eastAsia="仿宋" w:cs="仿宋"/>
          <w:color w:val="000000"/>
          <w:sz w:val="30"/>
        </w:rPr>
        <w:t xml:space="preserve">    （3）公安交通管理方面法律、法规、规章规定的对机动车、非机动车以外的违法占道行为的行政处罚权；</w:t>
      </w:r>
      <w:r>
        <w:rPr>
          <w:rFonts w:ascii="仿宋" w:hAnsi="仿宋" w:eastAsia="仿宋" w:cs="仿宋"/>
          <w:color w:val="000000"/>
          <w:sz w:val="30"/>
        </w:rPr>
        <w:br w:type="textWrapping"/>
      </w:r>
      <w:r>
        <w:rPr>
          <w:rFonts w:ascii="仿宋" w:hAnsi="仿宋" w:eastAsia="仿宋" w:cs="仿宋"/>
          <w:color w:val="000000"/>
          <w:sz w:val="30"/>
        </w:rPr>
        <w:t xml:space="preserve">    （4）市政管理方面法律、法规、规章规定的违法占道行为</w:t>
      </w:r>
      <w:r>
        <w:rPr>
          <w:rFonts w:hint="eastAsia" w:ascii="仿宋" w:hAnsi="仿宋" w:eastAsia="仿宋" w:cs="仿宋"/>
          <w:color w:val="000000"/>
          <w:sz w:val="30"/>
        </w:rPr>
        <w:t>的</w:t>
      </w:r>
      <w:r>
        <w:rPr>
          <w:rFonts w:ascii="仿宋" w:hAnsi="仿宋" w:eastAsia="仿宋" w:cs="仿宋"/>
          <w:color w:val="000000"/>
          <w:sz w:val="30"/>
        </w:rPr>
        <w:t>行政处罚权；</w:t>
      </w:r>
      <w:r>
        <w:rPr>
          <w:rFonts w:ascii="仿宋" w:hAnsi="仿宋" w:eastAsia="仿宋" w:cs="仿宋"/>
          <w:color w:val="000000"/>
          <w:sz w:val="30"/>
        </w:rPr>
        <w:br w:type="textWrapping"/>
      </w:r>
      <w:r>
        <w:rPr>
          <w:rFonts w:ascii="仿宋" w:hAnsi="仿宋" w:eastAsia="仿宋" w:cs="仿宋"/>
          <w:color w:val="000000"/>
          <w:sz w:val="30"/>
        </w:rPr>
        <w:t xml:space="preserve">    （5）城市规划管理方面法律、法规、规章规定的对未经规划部门许可的违法建设行为的行政处罚权；</w:t>
      </w:r>
      <w:r>
        <w:rPr>
          <w:rFonts w:ascii="仿宋" w:hAnsi="仿宋" w:eastAsia="仿宋" w:cs="仿宋"/>
          <w:color w:val="000000"/>
          <w:sz w:val="30"/>
        </w:rPr>
        <w:br w:type="textWrapping"/>
      </w:r>
      <w:r>
        <w:rPr>
          <w:rFonts w:ascii="仿宋" w:hAnsi="仿宋" w:eastAsia="仿宋" w:cs="仿宋"/>
          <w:color w:val="000000"/>
          <w:sz w:val="30"/>
        </w:rPr>
        <w:t xml:space="preserve">    （6）工商行政管理方面法律、法规、规章规定的对占用道路无照经营行为或未在指定地点经营并影响市容的违法行为的行政处罚权；</w:t>
      </w:r>
      <w:r>
        <w:rPr>
          <w:rFonts w:ascii="仿宋" w:hAnsi="仿宋" w:eastAsia="仿宋" w:cs="仿宋"/>
          <w:color w:val="000000"/>
          <w:sz w:val="30"/>
        </w:rPr>
        <w:br w:type="textWrapping"/>
      </w:r>
      <w:r>
        <w:rPr>
          <w:rFonts w:ascii="仿宋" w:hAnsi="仿宋" w:eastAsia="仿宋" w:cs="仿宋"/>
          <w:color w:val="000000"/>
          <w:sz w:val="30"/>
        </w:rPr>
        <w:t xml:space="preserve">    （7）法律、法规、规章规定或市人民政府决定调整的城市管理方面的其他行政处罚权。</w:t>
      </w:r>
    </w:p>
    <w:p w14:paraId="49D90D5F">
      <w:pPr>
        <w:spacing w:line="560" w:lineRule="exact"/>
        <w:ind w:firstLine="600"/>
      </w:pPr>
      <w:r>
        <w:rPr>
          <w:rFonts w:ascii="黑体" w:hAnsi="黑体" w:eastAsia="黑体" w:cs="黑体"/>
          <w:b/>
          <w:color w:val="000000"/>
          <w:sz w:val="30"/>
        </w:rPr>
        <w:t>二、机构设置情况</w:t>
      </w:r>
    </w:p>
    <w:p w14:paraId="19FB5925">
      <w:pPr>
        <w:spacing w:line="560" w:lineRule="exact"/>
        <w:ind w:firstLine="600"/>
      </w:pPr>
      <w:r>
        <w:rPr>
          <w:rFonts w:ascii="仿宋" w:hAnsi="仿宋" w:eastAsia="仿宋" w:cs="仿宋"/>
          <w:color w:val="000000"/>
          <w:sz w:val="30"/>
        </w:rPr>
        <w:t>天津市西青区辛口镇综合执法大队部门内设1个职能科室；下辖1个预算单位。</w:t>
      </w:r>
    </w:p>
    <w:p w14:paraId="6D111D62">
      <w:pPr>
        <w:spacing w:line="560" w:lineRule="exact"/>
        <w:ind w:firstLine="600"/>
      </w:pPr>
      <w:r>
        <w:rPr>
          <w:rFonts w:ascii="仿宋" w:hAnsi="仿宋" w:eastAsia="仿宋" w:cs="仿宋"/>
          <w:color w:val="000000"/>
          <w:sz w:val="30"/>
        </w:rPr>
        <w:t>纳入天津市西青区辛口镇综合执法大队单位2025年部门预算编制范围的预算单位包括：</w:t>
      </w:r>
    </w:p>
    <w:p w14:paraId="48EC50BA">
      <w:pPr>
        <w:spacing w:line="560" w:lineRule="exact"/>
        <w:ind w:firstLine="600"/>
      </w:pPr>
      <w:r>
        <w:rPr>
          <w:rFonts w:ascii="仿宋" w:hAnsi="仿宋" w:eastAsia="仿宋" w:cs="仿宋"/>
          <w:color w:val="000000"/>
          <w:sz w:val="30"/>
        </w:rPr>
        <w:t>1.天津市西青区辛口镇综合执法大队</w:t>
      </w:r>
    </w:p>
    <w:p w14:paraId="2202ABFD">
      <w:pPr>
        <w:pageBreakBefore/>
        <w:spacing w:line="560" w:lineRule="exact"/>
        <w:jc w:val="center"/>
      </w:pPr>
      <w:r>
        <w:rPr>
          <w:rFonts w:ascii="方正小标宋简体" w:hAnsi="方正小标宋简体" w:eastAsia="方正小标宋简体" w:cs="方正小标宋简体"/>
          <w:b/>
          <w:color w:val="000000"/>
          <w:sz w:val="48"/>
        </w:rPr>
        <w:t>第二部分  2025年度单位预算情况说明</w:t>
      </w:r>
    </w:p>
    <w:p w14:paraId="41EF5EB0">
      <w:pPr>
        <w:spacing w:line="560" w:lineRule="exact"/>
        <w:ind w:firstLine="600"/>
      </w:pPr>
      <w:r>
        <w:rPr>
          <w:rFonts w:ascii="黑体" w:hAnsi="黑体" w:eastAsia="黑体" w:cs="黑体"/>
          <w:b/>
          <w:color w:val="000000"/>
          <w:sz w:val="30"/>
        </w:rPr>
        <w:t>一、关于收支总体情况表的说明</w:t>
      </w:r>
    </w:p>
    <w:p w14:paraId="30795294">
      <w:pPr>
        <w:spacing w:line="560" w:lineRule="exact"/>
        <w:ind w:firstLine="600"/>
      </w:pPr>
      <w:r>
        <w:rPr>
          <w:rFonts w:ascii="仿宋" w:hAnsi="仿宋" w:eastAsia="仿宋" w:cs="仿宋"/>
          <w:color w:val="000000"/>
          <w:sz w:val="30"/>
        </w:rPr>
        <w:t>按照综合预算的原则，天津市西青区辛口镇综合执法大队单位所有收入和支出均纳入部门预算管理。收入包括：一般公共预算拨款收入741.29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0.51万元、社会保障和就业支出43.83万元、城乡社区支出675.04万元、卫生健康支出21.91万元。天津市西青区辛口镇综合执法大队单位2025年收支总预算741.29万元。</w:t>
      </w:r>
    </w:p>
    <w:p w14:paraId="41F61F84">
      <w:pPr>
        <w:spacing w:line="560" w:lineRule="exact"/>
        <w:ind w:firstLine="600"/>
      </w:pPr>
      <w:r>
        <w:rPr>
          <w:rFonts w:ascii="黑体" w:hAnsi="黑体" w:eastAsia="黑体" w:cs="黑体"/>
          <w:b/>
          <w:color w:val="000000"/>
          <w:sz w:val="30"/>
        </w:rPr>
        <w:t>二、关于收入总体情况表的说明</w:t>
      </w:r>
    </w:p>
    <w:p w14:paraId="61F41D4B">
      <w:pPr>
        <w:spacing w:line="560" w:lineRule="exact"/>
        <w:ind w:firstLine="600"/>
      </w:pPr>
      <w:r>
        <w:rPr>
          <w:rFonts w:ascii="仿宋" w:hAnsi="仿宋" w:eastAsia="仿宋" w:cs="仿宋"/>
          <w:color w:val="000000"/>
          <w:sz w:val="30"/>
        </w:rPr>
        <w:t>天津市西青区辛口镇综合执法大队单位2025年部门预算收入741.29万元，与上年预算相比增加166.76万元，主要原因是综合执法经费与郭庄子-冯高庄工业集聚区关停取缔补贴资金项目预算较上年增加。其中：上年结转结余0万元，占0%；一般公共预算741.29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3CA542FB">
      <w:pPr>
        <w:spacing w:line="560" w:lineRule="exact"/>
        <w:ind w:firstLine="600"/>
      </w:pPr>
      <w:r>
        <w:rPr>
          <w:rFonts w:ascii="黑体" w:hAnsi="黑体" w:eastAsia="黑体" w:cs="黑体"/>
          <w:b/>
          <w:color w:val="000000"/>
          <w:sz w:val="30"/>
        </w:rPr>
        <w:t>三、关于支出总体情况表的说明</w:t>
      </w:r>
    </w:p>
    <w:p w14:paraId="30ADC875">
      <w:pPr>
        <w:spacing w:line="560" w:lineRule="exact"/>
        <w:ind w:firstLine="600"/>
      </w:pPr>
      <w:r>
        <w:rPr>
          <w:rFonts w:ascii="仿宋" w:hAnsi="仿宋" w:eastAsia="仿宋" w:cs="仿宋"/>
          <w:color w:val="000000"/>
          <w:sz w:val="30"/>
        </w:rPr>
        <w:t>天津市西青区辛口镇综合执法大队单位2025年支出预算741.29万元，与上年预算相比增加166.76万元，主要原因是综合执法经费与郭庄子-冯高庄工业集聚区关停取缔补贴资金项目预算较上年增加。其中：基本支出419.29万元，占56.56%；项目支出322.00万元，占43.44%；事业单位经营支出0万元，占0%；上缴上级支出0万元，占0%；对附属单位补助支出0万元，占0%。</w:t>
      </w:r>
    </w:p>
    <w:p w14:paraId="33A4F35E">
      <w:pPr>
        <w:spacing w:line="560" w:lineRule="exact"/>
        <w:ind w:firstLine="600"/>
      </w:pPr>
      <w:r>
        <w:rPr>
          <w:rFonts w:ascii="黑体" w:hAnsi="黑体" w:eastAsia="黑体" w:cs="黑体"/>
          <w:b/>
          <w:color w:val="000000"/>
          <w:sz w:val="30"/>
        </w:rPr>
        <w:t>四、关于财政拨款收支总体情况表的说明</w:t>
      </w:r>
    </w:p>
    <w:p w14:paraId="41F3D2FB">
      <w:pPr>
        <w:spacing w:line="560" w:lineRule="exact"/>
        <w:ind w:firstLine="600"/>
      </w:pPr>
      <w:r>
        <w:rPr>
          <w:rFonts w:ascii="仿宋" w:hAnsi="仿宋" w:eastAsia="仿宋" w:cs="仿宋"/>
          <w:color w:val="000000"/>
          <w:sz w:val="30"/>
        </w:rPr>
        <w:t>天津市西青区辛口镇综合执法大队单位2025年财政拨款收入预算741.29万元，与上年预算相比增加166.76万元，主要原因是综合执法经费与郭庄子-冯高庄工业集聚区关停取缔补贴资金项目预算较上年增加。收入包括：一般公共预算拨款收入741.29万元、政府性基金预算拨款收入0万元、上年财政结转结余0万元、国有资本经营预算拨款收入0万元、2025年财政拨款支出预算741.29万元，与上年预算相比增加166.76万元，主要原因是综合执法经费与郭庄子-冯高庄工业集聚区关停取缔补贴资金项目预算较上年增加。支出包括：教育支出0.51万元 ；社会保障和就业支出43.83万元 ；卫生健康支出21.91万元 ；城乡社区支出675.04万元。</w:t>
      </w:r>
    </w:p>
    <w:p w14:paraId="1E329558">
      <w:pPr>
        <w:spacing w:line="560" w:lineRule="exact"/>
        <w:ind w:firstLine="600"/>
      </w:pPr>
      <w:r>
        <w:rPr>
          <w:rFonts w:ascii="黑体" w:hAnsi="黑体" w:eastAsia="黑体" w:cs="黑体"/>
          <w:b/>
          <w:color w:val="000000"/>
          <w:sz w:val="30"/>
        </w:rPr>
        <w:t>五、关于一般公共预算支出情况表的说明</w:t>
      </w:r>
    </w:p>
    <w:p w14:paraId="3880411C">
      <w:pPr>
        <w:spacing w:line="560" w:lineRule="exact"/>
        <w:ind w:firstLine="600"/>
      </w:pPr>
      <w:r>
        <w:rPr>
          <w:rFonts w:ascii="楷体" w:hAnsi="楷体" w:eastAsia="楷体" w:cs="楷体"/>
          <w:b/>
          <w:color w:val="000000"/>
          <w:sz w:val="30"/>
        </w:rPr>
        <w:t>（一）总体情况</w:t>
      </w:r>
    </w:p>
    <w:p w14:paraId="7B79C7BD">
      <w:pPr>
        <w:spacing w:line="560" w:lineRule="exact"/>
        <w:ind w:firstLine="600"/>
      </w:pPr>
      <w:r>
        <w:rPr>
          <w:rFonts w:ascii="仿宋" w:hAnsi="仿宋" w:eastAsia="仿宋" w:cs="仿宋"/>
          <w:color w:val="000000"/>
          <w:sz w:val="30"/>
        </w:rPr>
        <w:t>天津市西青区辛口镇综合执法大队单位2025年一般公共预算支出741.29万元(上年574.53万元），与上年预算相比增加166.76万元，主要原因是综合执法经费与郭庄子-冯高庄工业集聚区关停取缔补贴资金项目预算较上年增加。</w:t>
      </w:r>
    </w:p>
    <w:p w14:paraId="2BC70268">
      <w:pPr>
        <w:spacing w:line="560" w:lineRule="exact"/>
        <w:ind w:firstLine="600"/>
      </w:pPr>
      <w:r>
        <w:rPr>
          <w:rFonts w:ascii="楷体" w:hAnsi="楷体" w:eastAsia="楷体" w:cs="楷体"/>
          <w:b/>
          <w:color w:val="000000"/>
          <w:sz w:val="30"/>
        </w:rPr>
        <w:t>（二）具体情况</w:t>
      </w:r>
    </w:p>
    <w:p w14:paraId="75B77989">
      <w:pPr>
        <w:spacing w:line="560" w:lineRule="exact"/>
        <w:ind w:firstLine="600"/>
      </w:pPr>
      <w:r>
        <w:rPr>
          <w:rFonts w:ascii="仿宋" w:hAnsi="仿宋" w:eastAsia="仿宋" w:cs="仿宋"/>
          <w:color w:val="000000"/>
          <w:sz w:val="30"/>
        </w:rPr>
        <w:t>1、“教育支出（类）”0.51万元，与上年预算相比增加0.33万元，主要原因是增加了支出。其中：“进修及培训（款）”0.51万元，包括：“培训支出（项）”0.51万元，主要用于职工培训费。</w:t>
      </w:r>
    </w:p>
    <w:p w14:paraId="36DB1451">
      <w:pPr>
        <w:spacing w:line="560" w:lineRule="exact"/>
        <w:ind w:firstLine="600"/>
      </w:pPr>
      <w:r>
        <w:rPr>
          <w:rFonts w:ascii="仿宋" w:hAnsi="仿宋" w:eastAsia="仿宋" w:cs="仿宋"/>
          <w:color w:val="000000"/>
          <w:sz w:val="30"/>
        </w:rPr>
        <w:t>2、“社会保障和就业支出（类）”43.83万元，与上年预算相比减少1.76万元，主要原因是减少了1人。其中：“行政事业单位养老支出（款）”43.83万元，包括：“机关事业单位基本养老保险缴费支出（项）”29.22万元，主要用于职工养老保险；“机关事业单位职业年金缴费支出（项）”14.61万元，主要用于职工职业年金。</w:t>
      </w:r>
    </w:p>
    <w:p w14:paraId="057365FC">
      <w:pPr>
        <w:spacing w:line="560" w:lineRule="exact"/>
        <w:ind w:firstLine="600"/>
      </w:pPr>
      <w:r>
        <w:rPr>
          <w:rFonts w:ascii="仿宋" w:hAnsi="仿宋" w:eastAsia="仿宋" w:cs="仿宋"/>
          <w:color w:val="000000"/>
          <w:sz w:val="30"/>
        </w:rPr>
        <w:t>3、“卫生健康支出（类）”21.91万元，与上年预算相比减少1.83万元，主要原因是减少了1人。其中：“行政事业单位医疗（款）”21.91万元，包括：“行政单位医疗（项）”18.26万元，主要用于职工医疗保险；“公务员医疗补助（项）”3.65万元，主要用于职工公务员医疗补助。</w:t>
      </w:r>
    </w:p>
    <w:p w14:paraId="46D83B1B">
      <w:pPr>
        <w:spacing w:line="560" w:lineRule="exact"/>
        <w:ind w:firstLine="600"/>
      </w:pPr>
      <w:r>
        <w:rPr>
          <w:rFonts w:ascii="仿宋" w:hAnsi="仿宋" w:eastAsia="仿宋" w:cs="仿宋"/>
          <w:color w:val="000000"/>
          <w:sz w:val="30"/>
        </w:rPr>
        <w:t>4、“城乡社区支出（类）”675.04万元，与上年预算相比增加170.02万元，主要原因是综合执法经费与郭庄子-冯高庄工业集聚区关停取缔补贴资金项目预算较上年增加。其中：“城乡社区管理事务（款）”675.04万元，包括：“行政运行（城乡社区管理事务）（项）”353.04万元，主要用于人员经费和公用经费等支出；“城管执法（项）”322.00万元，主要用于综合执法经费、交通分队经费及郭庄子-冯高庄工业集聚区关停取缔补贴资金。</w:t>
      </w:r>
    </w:p>
    <w:p w14:paraId="0632E41A">
      <w:pPr>
        <w:spacing w:line="560" w:lineRule="exact"/>
        <w:ind w:firstLine="600"/>
      </w:pPr>
      <w:r>
        <w:rPr>
          <w:rFonts w:ascii="黑体" w:hAnsi="黑体" w:eastAsia="黑体" w:cs="黑体"/>
          <w:b/>
          <w:color w:val="000000"/>
          <w:sz w:val="30"/>
        </w:rPr>
        <w:t>六、关于一般公共预算基本支出情况表的说明</w:t>
      </w:r>
    </w:p>
    <w:p w14:paraId="38BCCC14">
      <w:pPr>
        <w:spacing w:line="560" w:lineRule="exact"/>
        <w:ind w:firstLine="600"/>
      </w:pPr>
      <w:r>
        <w:rPr>
          <w:rFonts w:ascii="仿宋" w:hAnsi="仿宋" w:eastAsia="仿宋" w:cs="仿宋"/>
          <w:color w:val="000000"/>
          <w:sz w:val="30"/>
        </w:rPr>
        <w:t>天津市西青区辛口镇综合执法大队单位2025年一般公共预算基本支出 419.29万元，与上年预算相比减少18.24万元，主要原因是减少了1人。其中：人员经费 362.25万元，主要包括：基本工资、津贴补贴、奖金、机关事业单位基本养老保险缴费、职业年金缴费、职工基本医疗保险缴费、公务员医疗补助缴费、其他社会保障缴费、住房公积金、奖励金、其他对个人和家庭的补助等；</w:t>
      </w:r>
    </w:p>
    <w:p w14:paraId="7458E21B">
      <w:pPr>
        <w:spacing w:line="560" w:lineRule="exact"/>
        <w:ind w:firstLine="600"/>
      </w:pPr>
      <w:r>
        <w:rPr>
          <w:rFonts w:ascii="仿宋" w:hAnsi="仿宋" w:eastAsia="仿宋" w:cs="仿宋"/>
          <w:color w:val="000000"/>
          <w:sz w:val="30"/>
        </w:rPr>
        <w:t>公用经费57.04万元，主要包括：办公费、水费、电费、邮电费、物业管理费、差旅费、维修（护）费、培训费、委托业务费、工会经费、福利费、其他交通费用、其他商品和服务支出、办公设备购置等。</w:t>
      </w:r>
    </w:p>
    <w:p w14:paraId="309462A9">
      <w:pPr>
        <w:spacing w:line="560" w:lineRule="exact"/>
        <w:ind w:firstLine="600"/>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66FD531C">
      <w:pPr>
        <w:spacing w:line="560" w:lineRule="exact"/>
        <w:ind w:firstLine="600"/>
      </w:pPr>
      <w:r>
        <w:rPr>
          <w:rFonts w:ascii="仿宋" w:hAnsi="仿宋" w:eastAsia="仿宋" w:cs="仿宋"/>
          <w:color w:val="000000"/>
          <w:sz w:val="30"/>
        </w:rPr>
        <w:t>2025年一般公共预算“三公”经费安排0万元，与2024年预算相比增加0.00万元，主要原因是本单位一般公共预算未安排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三公</w:t>
      </w:r>
      <w:r>
        <w:rPr>
          <w:rFonts w:hint="eastAsia" w:ascii="仿宋" w:hAnsi="仿宋" w:eastAsia="仿宋" w:cs="仿宋"/>
          <w:color w:val="000000"/>
          <w:sz w:val="30"/>
          <w:lang w:eastAsia="zh-CN"/>
        </w:rPr>
        <w:t>”</w:t>
      </w:r>
      <w:r>
        <w:rPr>
          <w:rFonts w:ascii="仿宋" w:hAnsi="仿宋" w:eastAsia="仿宋" w:cs="仿宋"/>
          <w:color w:val="000000"/>
          <w:sz w:val="30"/>
        </w:rPr>
        <w:t>经费。</w:t>
      </w:r>
    </w:p>
    <w:p w14:paraId="6F08EC6C">
      <w:pPr>
        <w:spacing w:line="560" w:lineRule="exact"/>
        <w:ind w:firstLine="600"/>
      </w:pPr>
      <w:r>
        <w:rPr>
          <w:rFonts w:ascii="仿宋" w:hAnsi="仿宋" w:eastAsia="仿宋" w:cs="仿宋"/>
          <w:color w:val="000000"/>
          <w:sz w:val="30"/>
        </w:rPr>
        <w:t>具体情况：</w:t>
      </w:r>
    </w:p>
    <w:p w14:paraId="30739852">
      <w:pPr>
        <w:spacing w:line="560" w:lineRule="exact"/>
        <w:ind w:firstLine="600"/>
      </w:pPr>
      <w:r>
        <w:rPr>
          <w:rFonts w:ascii="仿宋" w:hAnsi="仿宋" w:eastAsia="仿宋" w:cs="仿宋"/>
          <w:color w:val="000000"/>
          <w:sz w:val="30"/>
        </w:rPr>
        <w:t>一、2025年因公出国（境）费预算0万元，与2024年预算相比增加0.00万元，主要原因是本单位一般公共预算未安排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因公出国（境）费</w:t>
      </w:r>
      <w:r>
        <w:rPr>
          <w:rFonts w:hint="eastAsia" w:ascii="仿宋" w:hAnsi="仿宋" w:eastAsia="仿宋" w:cs="仿宋"/>
          <w:color w:val="000000"/>
          <w:sz w:val="30"/>
          <w:lang w:eastAsia="zh-CN"/>
        </w:rPr>
        <w:t>”</w:t>
      </w:r>
      <w:r>
        <w:rPr>
          <w:rFonts w:ascii="仿宋" w:hAnsi="仿宋" w:eastAsia="仿宋" w:cs="仿宋"/>
          <w:color w:val="000000"/>
          <w:sz w:val="30"/>
        </w:rPr>
        <w:t>。</w:t>
      </w:r>
    </w:p>
    <w:p w14:paraId="2A35343A">
      <w:pPr>
        <w:spacing w:line="560" w:lineRule="exact"/>
        <w:ind w:firstLine="600"/>
      </w:pPr>
      <w:r>
        <w:rPr>
          <w:rFonts w:ascii="仿宋" w:hAnsi="仿宋" w:eastAsia="仿宋" w:cs="仿宋"/>
          <w:color w:val="000000"/>
          <w:sz w:val="30"/>
        </w:rPr>
        <w:t>二、2025年公务用车购置及运行费预算0万元，其中公务用车运行费0万元，与2024年预算相比增加0万元，主要原因是本单位一般公共预算未安排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公务用车运行费</w:t>
      </w:r>
      <w:r>
        <w:rPr>
          <w:rFonts w:hint="eastAsia" w:ascii="仿宋" w:hAnsi="仿宋" w:eastAsia="仿宋" w:cs="仿宋"/>
          <w:color w:val="000000"/>
          <w:sz w:val="30"/>
          <w:lang w:eastAsia="zh-CN"/>
        </w:rPr>
        <w:t>”</w:t>
      </w:r>
      <w:r>
        <w:rPr>
          <w:rFonts w:ascii="仿宋" w:hAnsi="仿宋" w:eastAsia="仿宋" w:cs="仿宋"/>
          <w:color w:val="000000"/>
          <w:sz w:val="30"/>
        </w:rPr>
        <w:t>；公务用车购置费0万元，与2024年预算相比增加0万元，主要原因是本单位一般公共预算未安排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公务用车购置费</w:t>
      </w:r>
      <w:r>
        <w:rPr>
          <w:rFonts w:hint="eastAsia" w:ascii="仿宋" w:hAnsi="仿宋" w:eastAsia="仿宋" w:cs="仿宋"/>
          <w:color w:val="000000"/>
          <w:sz w:val="30"/>
          <w:lang w:eastAsia="zh-CN"/>
        </w:rPr>
        <w:t>”</w:t>
      </w:r>
      <w:r>
        <w:rPr>
          <w:rFonts w:ascii="仿宋" w:hAnsi="仿宋" w:eastAsia="仿宋" w:cs="仿宋"/>
          <w:color w:val="000000"/>
          <w:sz w:val="30"/>
        </w:rPr>
        <w:t>。</w:t>
      </w:r>
    </w:p>
    <w:p w14:paraId="456B5010">
      <w:pPr>
        <w:spacing w:line="560" w:lineRule="exact"/>
        <w:ind w:firstLine="600"/>
      </w:pPr>
      <w:r>
        <w:rPr>
          <w:rFonts w:ascii="仿宋" w:hAnsi="仿宋" w:eastAsia="仿宋" w:cs="仿宋"/>
          <w:color w:val="000000"/>
          <w:sz w:val="30"/>
        </w:rPr>
        <w:t>三、2025年公务接待费预算0万元，与2024年预算相比增加0万元，主要原因是本单位一般公共预算未安排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公务接待费</w:t>
      </w:r>
      <w:r>
        <w:rPr>
          <w:rFonts w:hint="eastAsia" w:ascii="仿宋" w:hAnsi="仿宋" w:eastAsia="仿宋" w:cs="仿宋"/>
          <w:color w:val="000000"/>
          <w:sz w:val="30"/>
          <w:lang w:eastAsia="zh-CN"/>
        </w:rPr>
        <w:t>”</w:t>
      </w:r>
      <w:r>
        <w:rPr>
          <w:rFonts w:ascii="仿宋" w:hAnsi="仿宋" w:eastAsia="仿宋" w:cs="仿宋"/>
          <w:color w:val="000000"/>
          <w:sz w:val="30"/>
        </w:rPr>
        <w:t>。</w:t>
      </w:r>
      <w:bookmarkStart w:id="0" w:name="_GoBack"/>
      <w:bookmarkEnd w:id="0"/>
    </w:p>
    <w:p w14:paraId="1C9CFD44">
      <w:pPr>
        <w:spacing w:line="560" w:lineRule="exact"/>
        <w:ind w:firstLine="600"/>
      </w:pPr>
      <w:r>
        <w:rPr>
          <w:rFonts w:ascii="黑体" w:hAnsi="黑体" w:eastAsia="黑体" w:cs="黑体"/>
          <w:b/>
          <w:color w:val="000000"/>
          <w:sz w:val="30"/>
        </w:rPr>
        <w:t>八、关于政府性基金预算支出情况表的说明</w:t>
      </w:r>
    </w:p>
    <w:p w14:paraId="6D794489">
      <w:pPr>
        <w:spacing w:line="560" w:lineRule="exact"/>
        <w:ind w:firstLine="600"/>
      </w:pPr>
      <w:r>
        <w:rPr>
          <w:rFonts w:ascii="仿宋" w:hAnsi="仿宋" w:eastAsia="仿宋" w:cs="仿宋"/>
          <w:color w:val="000000"/>
          <w:sz w:val="30"/>
        </w:rPr>
        <w:t>2025年天津市西青区辛口镇综合执法大队单位预算中没有使用政府性基金预算安排的支出。</w:t>
      </w:r>
    </w:p>
    <w:p w14:paraId="0D9F033A">
      <w:pPr>
        <w:spacing w:line="560" w:lineRule="exact"/>
        <w:ind w:firstLine="600"/>
      </w:pPr>
      <w:r>
        <w:rPr>
          <w:rFonts w:ascii="黑体" w:hAnsi="黑体" w:eastAsia="黑体" w:cs="黑体"/>
          <w:b/>
          <w:color w:val="000000"/>
          <w:sz w:val="30"/>
        </w:rPr>
        <w:t>九、关于国有资本经营预算支出情况表的说明</w:t>
      </w:r>
    </w:p>
    <w:p w14:paraId="2133D6DF">
      <w:pPr>
        <w:spacing w:line="560" w:lineRule="exact"/>
        <w:ind w:firstLine="600"/>
      </w:pPr>
      <w:r>
        <w:rPr>
          <w:rFonts w:ascii="仿宋" w:hAnsi="仿宋" w:eastAsia="仿宋" w:cs="仿宋"/>
          <w:color w:val="000000"/>
          <w:sz w:val="30"/>
        </w:rPr>
        <w:t>2025年天津市西青区辛口镇综合执法大队单位预算中没有使用国有资本经营预算安排的支出。</w:t>
      </w:r>
    </w:p>
    <w:p w14:paraId="7FE4841B">
      <w:pPr>
        <w:spacing w:line="560" w:lineRule="exact"/>
        <w:ind w:firstLine="600"/>
      </w:pPr>
      <w:r>
        <w:rPr>
          <w:rFonts w:ascii="黑体" w:hAnsi="黑体" w:eastAsia="黑体" w:cs="黑体"/>
          <w:b/>
          <w:color w:val="000000"/>
          <w:sz w:val="30"/>
        </w:rPr>
        <w:t>十、其他重要事项的情况说明</w:t>
      </w:r>
    </w:p>
    <w:p w14:paraId="232A537C">
      <w:pPr>
        <w:spacing w:line="560" w:lineRule="exact"/>
        <w:ind w:firstLine="600"/>
      </w:pPr>
      <w:r>
        <w:rPr>
          <w:rFonts w:ascii="楷体" w:hAnsi="楷体" w:eastAsia="楷体" w:cs="楷体"/>
          <w:b/>
          <w:color w:val="000000"/>
          <w:sz w:val="30"/>
        </w:rPr>
        <w:t>（一）机关运行经费。</w:t>
      </w:r>
    </w:p>
    <w:p w14:paraId="1C8A19F4">
      <w:pPr>
        <w:spacing w:line="560" w:lineRule="exact"/>
        <w:ind w:firstLine="600"/>
      </w:pPr>
      <w:r>
        <w:rPr>
          <w:rFonts w:ascii="仿宋" w:hAnsi="仿宋" w:eastAsia="仿宋" w:cs="仿宋"/>
          <w:color w:val="000000"/>
          <w:sz w:val="30"/>
        </w:rPr>
        <w:t>本单位2025年0家行政单位以及天津市西青区辛口镇综合执法大队1家参公管理事业单位的机关运行经费预算57.04万元，包括办公费4.65万元、水费1.02万元、电费1.53万元、邮电费1.02万元、物业管理费12.24万元、差旅费1.36万元、维修(护)费1.02万元、培训费0.51万元、委托业务费2.40万元、工会经费4.52万元、福利费1.70万元、其他交通费用12.00万元、其他商品和服务支出11.84万元、办公设备购置1.23万元 。</w:t>
      </w:r>
    </w:p>
    <w:p w14:paraId="5C8864E5">
      <w:pPr>
        <w:spacing w:line="560" w:lineRule="exact"/>
        <w:ind w:firstLine="600"/>
        <w:rPr>
          <w:rFonts w:ascii="楷体" w:hAnsi="楷体" w:eastAsia="楷体" w:cs="楷体"/>
          <w:b/>
          <w:color w:val="000000"/>
          <w:sz w:val="30"/>
        </w:rPr>
      </w:pPr>
      <w:r>
        <w:rPr>
          <w:rFonts w:ascii="楷体" w:hAnsi="楷体" w:eastAsia="楷体" w:cs="楷体"/>
          <w:b/>
          <w:color w:val="000000"/>
          <w:sz w:val="30"/>
        </w:rPr>
        <w:t>（二）政府采购情况</w:t>
      </w:r>
    </w:p>
    <w:p w14:paraId="5B5B40CD">
      <w:pPr>
        <w:spacing w:line="560" w:lineRule="exact"/>
        <w:ind w:firstLine="600"/>
      </w:pPr>
      <w:r>
        <w:rPr>
          <w:rFonts w:ascii="仿宋" w:hAnsi="仿宋" w:eastAsia="仿宋" w:cs="仿宋"/>
          <w:color w:val="000000"/>
          <w:sz w:val="30"/>
        </w:rPr>
        <w:t>本部门2025年安排政府采购预算100万元，其中：政府采购货物支出0万元、政府采购工程支出0万元、政府采购服务支出100万元。主要项目是：辛口镇2025年违法建设、违法用地治理服务项目。</w:t>
      </w:r>
    </w:p>
    <w:p w14:paraId="09823A19">
      <w:pPr>
        <w:spacing w:line="560" w:lineRule="exact"/>
        <w:ind w:firstLine="600"/>
      </w:pPr>
      <w:r>
        <w:rPr>
          <w:rFonts w:ascii="楷体" w:hAnsi="楷体" w:eastAsia="楷体" w:cs="楷体"/>
          <w:b/>
          <w:color w:val="000000"/>
          <w:sz w:val="30"/>
        </w:rPr>
        <w:t>（三）国有资产占用情况</w:t>
      </w:r>
    </w:p>
    <w:p w14:paraId="55D53C79">
      <w:pPr>
        <w:spacing w:line="560" w:lineRule="exact"/>
        <w:ind w:firstLine="600"/>
      </w:pPr>
      <w:r>
        <w:rPr>
          <w:rFonts w:ascii="仿宋" w:hAnsi="仿宋" w:eastAsia="仿宋" w:cs="仿宋"/>
          <w:color w:val="000000"/>
          <w:sz w:val="30"/>
        </w:rPr>
        <w:t>截至2024年12月底，本部门各单位共有车辆4辆、其中：副部（省）级及以上领导用车0辆、主要负责人干部用车0辆、机要通信用车0辆、应急保障用车0辆、执法执勤用车4辆、特种专业技术用车0辆、离退休干部用车0辆、其他用车0辆，其他用车主要包括0。单价（账面原值）100万以上的设备0台（套）。</w:t>
      </w:r>
    </w:p>
    <w:p w14:paraId="289BDD56">
      <w:pPr>
        <w:spacing w:line="560" w:lineRule="exact"/>
        <w:ind w:firstLine="600"/>
      </w:pPr>
      <w:r>
        <w:rPr>
          <w:rFonts w:ascii="楷体" w:hAnsi="楷体" w:eastAsia="楷体" w:cs="楷体"/>
          <w:b/>
          <w:color w:val="000000"/>
          <w:sz w:val="30"/>
        </w:rPr>
        <w:t>（四）预算绩效情况说明。</w:t>
      </w:r>
    </w:p>
    <w:p w14:paraId="09BB15FE">
      <w:pPr>
        <w:spacing w:line="560" w:lineRule="exact"/>
        <w:ind w:firstLine="600"/>
      </w:pPr>
      <w:r>
        <w:rPr>
          <w:rFonts w:ascii="仿宋" w:hAnsi="仿宋" w:eastAsia="仿宋" w:cs="仿宋"/>
          <w:color w:val="000000"/>
          <w:sz w:val="30"/>
        </w:rPr>
        <w:t>天津市西青区辛口镇综合执法大队单位2025年实行绩效目标管理的项目3个，涉及预算金额322万元。</w:t>
      </w:r>
    </w:p>
    <w:p w14:paraId="750E9259">
      <w:pPr>
        <w:pageBreakBefore/>
        <w:spacing w:line="560" w:lineRule="exact"/>
        <w:jc w:val="center"/>
      </w:pPr>
      <w:r>
        <w:rPr>
          <w:rFonts w:ascii="黑体" w:hAnsi="黑体" w:eastAsia="黑体" w:cs="黑体"/>
          <w:b/>
          <w:color w:val="000000"/>
          <w:sz w:val="48"/>
        </w:rPr>
        <w:t>第三部分  名词解释</w:t>
      </w:r>
    </w:p>
    <w:p w14:paraId="25395AD3">
      <w:pPr>
        <w:spacing w:line="560" w:lineRule="exact"/>
        <w:ind w:firstLine="560"/>
      </w:pPr>
      <w:r>
        <w:rPr>
          <w:rFonts w:ascii="仿宋" w:hAnsi="仿宋" w:eastAsia="仿宋" w:cs="仿宋"/>
          <w:b/>
          <w:color w:val="000000"/>
          <w:sz w:val="28"/>
        </w:rPr>
        <w:t>一、部门预算:</w:t>
      </w:r>
      <w:r>
        <w:rPr>
          <w:rFonts w:ascii="仿宋" w:hAnsi="仿宋" w:eastAsia="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3D49E9D3">
      <w:pPr>
        <w:spacing w:line="560" w:lineRule="exact"/>
        <w:ind w:firstLine="560"/>
      </w:pPr>
      <w:r>
        <w:rPr>
          <w:rFonts w:ascii="仿宋" w:hAnsi="仿宋" w:eastAsia="仿宋" w:cs="仿宋"/>
          <w:b/>
          <w:color w:val="000000"/>
          <w:sz w:val="28"/>
        </w:rPr>
        <w:t>二、基本支出：</w:t>
      </w:r>
      <w:r>
        <w:rPr>
          <w:rFonts w:ascii="仿宋" w:hAnsi="仿宋" w:eastAsia="仿宋" w:cs="仿宋"/>
          <w:color w:val="000000"/>
          <w:sz w:val="28"/>
        </w:rPr>
        <w:t>指为保障机构正常运转、完成日常工作任务而发生的人员支出和公用支出。</w:t>
      </w:r>
    </w:p>
    <w:p w14:paraId="2F408107">
      <w:pPr>
        <w:spacing w:line="560" w:lineRule="exact"/>
        <w:ind w:firstLine="560"/>
      </w:pPr>
      <w:r>
        <w:rPr>
          <w:rFonts w:ascii="仿宋" w:hAnsi="仿宋" w:eastAsia="仿宋" w:cs="仿宋"/>
          <w:b/>
          <w:color w:val="000000"/>
          <w:sz w:val="28"/>
        </w:rPr>
        <w:t>三、项目支出:</w:t>
      </w:r>
      <w:r>
        <w:rPr>
          <w:rFonts w:ascii="仿宋" w:hAnsi="仿宋" w:eastAsia="仿宋" w:cs="仿宋"/>
          <w:color w:val="000000"/>
          <w:sz w:val="28"/>
        </w:rPr>
        <w:t>指在基本支出之外为完成特定行政任务和事业发展目标所发生的支出。</w:t>
      </w:r>
    </w:p>
    <w:p w14:paraId="0EBBCF38">
      <w:pPr>
        <w:spacing w:line="560" w:lineRule="exact"/>
        <w:ind w:firstLine="560"/>
      </w:pPr>
      <w:r>
        <w:rPr>
          <w:rFonts w:ascii="仿宋" w:hAnsi="仿宋" w:eastAsia="仿宋" w:cs="仿宋"/>
          <w:b/>
          <w:color w:val="000000"/>
          <w:sz w:val="28"/>
        </w:rPr>
        <w:t>四、机关运行经费：</w:t>
      </w:r>
      <w:r>
        <w:rPr>
          <w:rFonts w:ascii="仿宋" w:hAnsi="仿宋" w:eastAsia="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7B24C0B1">
      <w:pPr>
        <w:pageBreakBefore/>
        <w:spacing w:line="2000" w:lineRule="exact"/>
        <w:jc w:val="center"/>
      </w:pPr>
      <w:r>
        <w:rPr>
          <w:rFonts w:ascii="方正小标宋简体" w:hAnsi="方正小标宋简体" w:eastAsia="方正小标宋简体" w:cs="方正小标宋简体"/>
          <w:b/>
          <w:color w:val="000000"/>
          <w:sz w:val="48"/>
        </w:rPr>
        <w:t>第四部分   2025年单位预算表</w:t>
      </w:r>
    </w:p>
    <w:p w14:paraId="4D4ADEF5">
      <w:pPr>
        <w:spacing w:line="560" w:lineRule="exact"/>
      </w:pPr>
      <w:r>
        <w:rPr>
          <w:rFonts w:ascii="楷体" w:hAnsi="楷体" w:eastAsia="楷体" w:cs="楷体"/>
          <w:b/>
          <w:color w:val="000000"/>
          <w:sz w:val="30"/>
        </w:rPr>
        <w:t>一、《部门收支总体情况表》</w:t>
      </w:r>
    </w:p>
    <w:p w14:paraId="6153B6BC">
      <w:pPr>
        <w:spacing w:line="560" w:lineRule="exact"/>
      </w:pPr>
      <w:r>
        <w:rPr>
          <w:rFonts w:ascii="楷体" w:hAnsi="楷体" w:eastAsia="楷体" w:cs="楷体"/>
          <w:b/>
          <w:color w:val="000000"/>
          <w:sz w:val="30"/>
        </w:rPr>
        <w:t>二、《部门收入总体情况表》</w:t>
      </w:r>
    </w:p>
    <w:p w14:paraId="2AB88897">
      <w:pPr>
        <w:spacing w:line="560" w:lineRule="exact"/>
      </w:pPr>
      <w:r>
        <w:rPr>
          <w:rFonts w:ascii="楷体" w:hAnsi="楷体" w:eastAsia="楷体" w:cs="楷体"/>
          <w:b/>
          <w:color w:val="000000"/>
          <w:sz w:val="30"/>
        </w:rPr>
        <w:t>三、《部门支出总体情况表》</w:t>
      </w:r>
    </w:p>
    <w:p w14:paraId="229CE7D5">
      <w:pPr>
        <w:spacing w:line="560" w:lineRule="exact"/>
      </w:pPr>
      <w:r>
        <w:rPr>
          <w:rFonts w:ascii="楷体" w:hAnsi="楷体" w:eastAsia="楷体" w:cs="楷体"/>
          <w:b/>
          <w:color w:val="000000"/>
          <w:sz w:val="30"/>
        </w:rPr>
        <w:t>四、《财政拨款收支总体情况表》</w:t>
      </w:r>
    </w:p>
    <w:p w14:paraId="3958663E">
      <w:pPr>
        <w:spacing w:line="560" w:lineRule="exact"/>
      </w:pPr>
      <w:r>
        <w:rPr>
          <w:rFonts w:ascii="楷体" w:hAnsi="楷体" w:eastAsia="楷体" w:cs="楷体"/>
          <w:b/>
          <w:color w:val="000000"/>
          <w:sz w:val="30"/>
        </w:rPr>
        <w:t>五、《一般公共预算支出情况表》</w:t>
      </w:r>
    </w:p>
    <w:p w14:paraId="59F5B012">
      <w:pPr>
        <w:spacing w:line="560" w:lineRule="exact"/>
      </w:pPr>
      <w:r>
        <w:rPr>
          <w:rFonts w:ascii="楷体" w:hAnsi="楷体" w:eastAsia="楷体" w:cs="楷体"/>
          <w:b/>
          <w:color w:val="000000"/>
          <w:sz w:val="30"/>
        </w:rPr>
        <w:t>六、《一般公共预算基本支出情况表》</w:t>
      </w:r>
    </w:p>
    <w:p w14:paraId="3216EC2D">
      <w:pPr>
        <w:spacing w:line="560" w:lineRule="exact"/>
      </w:pPr>
      <w:r>
        <w:rPr>
          <w:rFonts w:ascii="楷体" w:hAnsi="楷体" w:eastAsia="楷体" w:cs="楷体"/>
          <w:b/>
          <w:color w:val="000000"/>
          <w:sz w:val="30"/>
        </w:rPr>
        <w:t>七、《一般公共预算“三公”经费支出情况表》</w:t>
      </w:r>
    </w:p>
    <w:p w14:paraId="43BEBCB3">
      <w:pPr>
        <w:spacing w:line="560" w:lineRule="exact"/>
      </w:pPr>
      <w:r>
        <w:rPr>
          <w:rFonts w:ascii="楷体" w:hAnsi="楷体" w:eastAsia="楷体" w:cs="楷体"/>
          <w:b/>
          <w:color w:val="000000"/>
          <w:sz w:val="30"/>
        </w:rPr>
        <w:t>八、《政府性基金预算支出情况表》</w:t>
      </w:r>
    </w:p>
    <w:p w14:paraId="0B6D470B">
      <w:pPr>
        <w:spacing w:line="560" w:lineRule="exact"/>
      </w:pPr>
      <w:r>
        <w:rPr>
          <w:rFonts w:ascii="楷体" w:hAnsi="楷体" w:eastAsia="楷体" w:cs="楷体"/>
          <w:b/>
          <w:color w:val="000000"/>
          <w:sz w:val="30"/>
        </w:rPr>
        <w:t>九、《国有资本经营预算支出情况表》</w:t>
      </w:r>
    </w:p>
    <w:p w14:paraId="5870258C">
      <w:pPr>
        <w:spacing w:line="560" w:lineRule="exact"/>
      </w:pPr>
      <w:r>
        <w:rPr>
          <w:rFonts w:ascii="楷体" w:hAnsi="楷体" w:eastAsia="楷体" w:cs="楷体"/>
          <w:b/>
          <w:color w:val="000000"/>
          <w:sz w:val="30"/>
        </w:rPr>
        <w:t>十、《项目支出表》</w:t>
      </w:r>
    </w:p>
    <w:p w14:paraId="1BF0AC1A">
      <w:pPr>
        <w:spacing w:line="560" w:lineRule="exact"/>
      </w:pPr>
      <w:r>
        <w:rPr>
          <w:rFonts w:ascii="楷体" w:hAnsi="楷体" w:eastAsia="楷体" w:cs="楷体"/>
          <w:b/>
          <w:color w:val="000000"/>
          <w:sz w:val="30"/>
        </w:rPr>
        <w:t>十一、关于空表说明</w:t>
      </w:r>
    </w:p>
    <w:p w14:paraId="7CD83A58">
      <w:pPr>
        <w:pageBreakBefore/>
        <w:spacing w:line="560" w:lineRule="exact"/>
      </w:pPr>
      <w:r>
        <w:rPr>
          <w:rFonts w:ascii="仿宋" w:hAnsi="仿宋" w:eastAsia="仿宋" w:cs="仿宋"/>
          <w:b/>
          <w:color w:val="000000"/>
          <w:sz w:val="30"/>
        </w:rPr>
        <w:t>十一、关于空表的说明</w:t>
      </w:r>
    </w:p>
    <w:p w14:paraId="41A8F5EA">
      <w:pPr>
        <w:spacing w:line="560" w:lineRule="exact"/>
        <w:ind w:firstLine="600"/>
      </w:pPr>
      <w:r>
        <w:rPr>
          <w:rFonts w:ascii="仿宋" w:hAnsi="仿宋" w:eastAsia="仿宋" w:cs="仿宋"/>
          <w:color w:val="000000"/>
          <w:sz w:val="30"/>
        </w:rPr>
        <w:t>本单位2025年一般公共预算“三公”经费支出情况表为空表</w:t>
      </w:r>
    </w:p>
    <w:p w14:paraId="276DE430">
      <w:pPr>
        <w:spacing w:line="560" w:lineRule="exact"/>
        <w:ind w:firstLine="600"/>
      </w:pPr>
      <w:r>
        <w:rPr>
          <w:rFonts w:ascii="仿宋" w:hAnsi="仿宋" w:eastAsia="仿宋" w:cs="仿宋"/>
          <w:color w:val="000000"/>
          <w:sz w:val="30"/>
        </w:rPr>
        <w:t>本单位2025年政府性基金预算支出情况表为空表</w:t>
      </w:r>
    </w:p>
    <w:p w14:paraId="69BE2F5B">
      <w:pPr>
        <w:spacing w:line="560" w:lineRule="exact"/>
        <w:ind w:firstLine="600"/>
      </w:pPr>
      <w:r>
        <w:rPr>
          <w:rFonts w:ascii="仿宋" w:hAnsi="仿宋" w:eastAsia="仿宋" w:cs="仿宋"/>
          <w:color w:val="000000"/>
          <w:sz w:val="30"/>
        </w:rPr>
        <w:t>本单位2025年国有资本经营预算支出情况表为空表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103C64"/>
    <w:rsid w:val="00092B4B"/>
    <w:rsid w:val="00103C64"/>
    <w:rsid w:val="7C4E5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4195</Words>
  <Characters>4593</Characters>
  <Lines>33</Lines>
  <Paragraphs>9</Paragraphs>
  <TotalTime>2</TotalTime>
  <ScaleCrop>false</ScaleCrop>
  <LinksUpToDate>false</LinksUpToDate>
  <CharactersWithSpaces>4647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2025-03-20T08:39:00Z</dcterms:created>
  <dc:creator>Apache POI</dc:creator>
  <cp:lastModifiedBy>等待</cp:lastModifiedBy>
  <dcterms:modified xsi:type="dcterms:W3CDTF">2025-03-21T08:03:43Z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7EEF080C224A4215BED5F4499754BE6F_12</vt:lpwstr>
  </property>
</Properties>
</file>