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5C1836">
      <w:pPr>
        <w:spacing w:line="2600" w:lineRule="exact"/>
        <w:ind w:firstLine="0"/>
        <w:jc w:val="center"/>
      </w:pPr>
      <w:r>
        <w:rPr>
          <w:rFonts w:ascii="方正小标宋简体" w:hAnsi="方正小标宋简体" w:eastAsia="方正小标宋简体" w:cs="方正小标宋简体"/>
          <w:b/>
          <w:color w:val="000000"/>
          <w:sz w:val="48"/>
        </w:rPr>
        <w:t>天津市西青区辛口镇党群服务中心</w:t>
      </w:r>
      <w:r>
        <w:rPr>
          <w:rFonts w:ascii="方正小标宋简体" w:hAnsi="方正小标宋简体" w:eastAsia="方正小标宋简体" w:cs="方正小标宋简体"/>
          <w:b/>
          <w:color w:val="000000"/>
          <w:sz w:val="48"/>
        </w:rPr>
        <w:br w:type="textWrapping"/>
      </w:r>
      <w:r>
        <w:rPr>
          <w:rFonts w:ascii="方正小标宋简体" w:hAnsi="方正小标宋简体" w:eastAsia="方正小标宋简体" w:cs="方正小标宋简体"/>
          <w:b/>
          <w:color w:val="000000"/>
          <w:sz w:val="48"/>
        </w:rPr>
        <w:t>2025年度单位预算公开</w:t>
      </w:r>
    </w:p>
    <w:p w14:paraId="67B3E425">
      <w:pPr>
        <w:pageBreakBefore/>
        <w:spacing w:line="560" w:lineRule="exact"/>
        <w:ind w:firstLine="0"/>
        <w:jc w:val="center"/>
      </w:pPr>
      <w:r>
        <w:rPr>
          <w:rFonts w:ascii="黑体" w:hAnsi="黑体" w:eastAsia="黑体" w:cs="黑体"/>
          <w:b/>
          <w:color w:val="000000"/>
          <w:sz w:val="44"/>
        </w:rPr>
        <w:t>目    录</w:t>
      </w:r>
    </w:p>
    <w:p w14:paraId="440F513C">
      <w:pPr>
        <w:spacing w:line="560" w:lineRule="exact"/>
        <w:ind w:firstLine="900"/>
        <w:jc w:val="both"/>
      </w:pPr>
      <w:r>
        <w:rPr>
          <w:rFonts w:ascii="仿宋" w:hAnsi="仿宋" w:eastAsia="仿宋" w:cs="仿宋"/>
          <w:b/>
          <w:color w:val="000000"/>
          <w:sz w:val="30"/>
        </w:rPr>
        <w:t>第一部分  概况</w:t>
      </w:r>
    </w:p>
    <w:p w14:paraId="6F8C38C1">
      <w:pPr>
        <w:spacing w:line="560" w:lineRule="exact"/>
        <w:ind w:firstLine="900"/>
        <w:jc w:val="both"/>
      </w:pPr>
      <w:r>
        <w:rPr>
          <w:rFonts w:ascii="仿宋" w:hAnsi="仿宋" w:eastAsia="仿宋" w:cs="仿宋"/>
          <w:b w:val="0"/>
          <w:color w:val="000000"/>
          <w:sz w:val="30"/>
        </w:rPr>
        <w:t>一、主要职责</w:t>
      </w:r>
    </w:p>
    <w:p w14:paraId="11A9DA0A">
      <w:pPr>
        <w:spacing w:line="560" w:lineRule="exact"/>
        <w:ind w:firstLine="900"/>
        <w:jc w:val="both"/>
      </w:pPr>
      <w:r>
        <w:rPr>
          <w:rFonts w:ascii="仿宋" w:hAnsi="仿宋" w:eastAsia="仿宋" w:cs="仿宋"/>
          <w:b w:val="0"/>
          <w:color w:val="000000"/>
          <w:sz w:val="30"/>
        </w:rPr>
        <w:t>二、机构设置情况</w:t>
      </w:r>
    </w:p>
    <w:p w14:paraId="70CC0B4A">
      <w:pPr>
        <w:spacing w:line="560" w:lineRule="exact"/>
        <w:ind w:firstLine="900"/>
        <w:jc w:val="both"/>
      </w:pPr>
      <w:r>
        <w:rPr>
          <w:rFonts w:ascii="仿宋" w:hAnsi="仿宋" w:eastAsia="仿宋" w:cs="仿宋"/>
          <w:b/>
          <w:color w:val="000000"/>
          <w:sz w:val="30"/>
        </w:rPr>
        <w:t>第二部分  2025年单位情况说明</w:t>
      </w:r>
    </w:p>
    <w:p w14:paraId="319C3B3D">
      <w:pPr>
        <w:spacing w:line="560" w:lineRule="exact"/>
        <w:ind w:firstLine="900"/>
        <w:jc w:val="both"/>
      </w:pPr>
      <w:r>
        <w:rPr>
          <w:rFonts w:ascii="仿宋" w:hAnsi="仿宋" w:eastAsia="仿宋" w:cs="仿宋"/>
          <w:b w:val="0"/>
          <w:color w:val="000000"/>
          <w:sz w:val="30"/>
        </w:rPr>
        <w:t>一、关于收支总体情况表的说明</w:t>
      </w:r>
    </w:p>
    <w:p w14:paraId="68116FD3">
      <w:pPr>
        <w:spacing w:line="560" w:lineRule="exact"/>
        <w:ind w:firstLine="900"/>
        <w:jc w:val="both"/>
      </w:pPr>
      <w:r>
        <w:rPr>
          <w:rFonts w:ascii="仿宋" w:hAnsi="仿宋" w:eastAsia="仿宋" w:cs="仿宋"/>
          <w:b w:val="0"/>
          <w:color w:val="000000"/>
          <w:sz w:val="30"/>
        </w:rPr>
        <w:t>二、关于收入总体情况表的说明</w:t>
      </w:r>
    </w:p>
    <w:p w14:paraId="2C466C37">
      <w:pPr>
        <w:spacing w:line="560" w:lineRule="exact"/>
        <w:ind w:firstLine="900"/>
        <w:jc w:val="both"/>
      </w:pPr>
      <w:r>
        <w:rPr>
          <w:rFonts w:ascii="仿宋" w:hAnsi="仿宋" w:eastAsia="仿宋" w:cs="仿宋"/>
          <w:b w:val="0"/>
          <w:color w:val="000000"/>
          <w:sz w:val="30"/>
        </w:rPr>
        <w:t>三、关于支出总体情况表的说明</w:t>
      </w:r>
    </w:p>
    <w:p w14:paraId="19556120">
      <w:pPr>
        <w:spacing w:line="560" w:lineRule="exact"/>
        <w:ind w:firstLine="900"/>
        <w:jc w:val="both"/>
      </w:pPr>
      <w:r>
        <w:rPr>
          <w:rFonts w:ascii="仿宋" w:hAnsi="仿宋" w:eastAsia="仿宋" w:cs="仿宋"/>
          <w:b w:val="0"/>
          <w:color w:val="000000"/>
          <w:sz w:val="30"/>
        </w:rPr>
        <w:t>四、关于财政拨款收支总体情况表的说明</w:t>
      </w:r>
    </w:p>
    <w:p w14:paraId="7DD2F8CF">
      <w:pPr>
        <w:spacing w:line="560" w:lineRule="exact"/>
        <w:ind w:firstLine="900"/>
        <w:jc w:val="both"/>
      </w:pPr>
      <w:r>
        <w:rPr>
          <w:rFonts w:ascii="仿宋" w:hAnsi="仿宋" w:eastAsia="仿宋" w:cs="仿宋"/>
          <w:b w:val="0"/>
          <w:color w:val="000000"/>
          <w:sz w:val="30"/>
        </w:rPr>
        <w:t>五、关于一般公共预算支出情况表的说明</w:t>
      </w:r>
    </w:p>
    <w:p w14:paraId="02A18C6F">
      <w:pPr>
        <w:spacing w:line="560" w:lineRule="exact"/>
        <w:ind w:firstLine="900"/>
        <w:jc w:val="both"/>
      </w:pPr>
      <w:r>
        <w:rPr>
          <w:rFonts w:ascii="仿宋" w:hAnsi="仿宋" w:eastAsia="仿宋" w:cs="仿宋"/>
          <w:b w:val="0"/>
          <w:color w:val="000000"/>
          <w:sz w:val="30"/>
        </w:rPr>
        <w:t>六、关于一般公共预算基本支出情况表的说明</w:t>
      </w:r>
    </w:p>
    <w:p w14:paraId="0E6B0635">
      <w:pPr>
        <w:spacing w:line="560" w:lineRule="exact"/>
        <w:ind w:firstLine="900"/>
        <w:jc w:val="both"/>
      </w:pPr>
      <w:r>
        <w:rPr>
          <w:rFonts w:ascii="仿宋" w:hAnsi="仿宋" w:eastAsia="仿宋" w:cs="仿宋"/>
          <w:b w:val="0"/>
          <w:color w:val="000000"/>
          <w:sz w:val="30"/>
        </w:rPr>
        <w:t>七、关于一般公共预算“三公”经费支出情况表的说明</w:t>
      </w:r>
    </w:p>
    <w:p w14:paraId="76A73E39">
      <w:pPr>
        <w:spacing w:line="560" w:lineRule="exact"/>
        <w:ind w:firstLine="900"/>
        <w:jc w:val="both"/>
      </w:pPr>
      <w:r>
        <w:rPr>
          <w:rFonts w:ascii="仿宋" w:hAnsi="仿宋" w:eastAsia="仿宋" w:cs="仿宋"/>
          <w:b w:val="0"/>
          <w:color w:val="000000"/>
          <w:sz w:val="30"/>
        </w:rPr>
        <w:t>八、关于政府性基金预算支出情况表的说明</w:t>
      </w:r>
    </w:p>
    <w:p w14:paraId="5FF1221D">
      <w:pPr>
        <w:spacing w:line="560" w:lineRule="exact"/>
        <w:ind w:firstLine="900"/>
        <w:jc w:val="both"/>
      </w:pPr>
      <w:r>
        <w:rPr>
          <w:rFonts w:ascii="仿宋" w:hAnsi="仿宋" w:eastAsia="仿宋" w:cs="仿宋"/>
          <w:b w:val="0"/>
          <w:color w:val="000000"/>
          <w:sz w:val="30"/>
        </w:rPr>
        <w:t>九、关于国有资本经营预算支出情况表的说明</w:t>
      </w:r>
    </w:p>
    <w:p w14:paraId="47B4FBA8">
      <w:pPr>
        <w:spacing w:line="560" w:lineRule="exact"/>
        <w:ind w:firstLine="900"/>
        <w:jc w:val="both"/>
      </w:pPr>
      <w:r>
        <w:rPr>
          <w:rFonts w:ascii="仿宋" w:hAnsi="仿宋" w:eastAsia="仿宋" w:cs="仿宋"/>
          <w:b w:val="0"/>
          <w:color w:val="000000"/>
          <w:sz w:val="30"/>
        </w:rPr>
        <w:t>十、其他重要事项的情况说明</w:t>
      </w:r>
    </w:p>
    <w:p w14:paraId="2A1A4FF2">
      <w:pPr>
        <w:spacing w:line="560" w:lineRule="exact"/>
        <w:ind w:firstLine="900"/>
        <w:jc w:val="both"/>
      </w:pPr>
      <w:r>
        <w:rPr>
          <w:rFonts w:ascii="仿宋" w:hAnsi="仿宋" w:eastAsia="仿宋" w:cs="仿宋"/>
          <w:b/>
          <w:color w:val="000000"/>
          <w:sz w:val="30"/>
        </w:rPr>
        <w:t>第三部分  名词解释</w:t>
      </w:r>
    </w:p>
    <w:p w14:paraId="631BAC42">
      <w:pPr>
        <w:spacing w:line="560" w:lineRule="exact"/>
        <w:ind w:firstLine="900"/>
        <w:jc w:val="both"/>
      </w:pPr>
      <w:r>
        <w:rPr>
          <w:rFonts w:ascii="仿宋" w:hAnsi="仿宋" w:eastAsia="仿宋" w:cs="仿宋"/>
          <w:b/>
          <w:color w:val="000000"/>
          <w:sz w:val="30"/>
        </w:rPr>
        <w:t>第四部分  2025年单位预算表</w:t>
      </w:r>
    </w:p>
    <w:p w14:paraId="1036F06A">
      <w:pPr>
        <w:spacing w:line="560" w:lineRule="exact"/>
        <w:ind w:firstLine="900"/>
        <w:jc w:val="both"/>
      </w:pPr>
      <w:r>
        <w:rPr>
          <w:rFonts w:ascii="仿宋" w:hAnsi="仿宋" w:eastAsia="仿宋" w:cs="仿宋"/>
          <w:b w:val="0"/>
          <w:color w:val="000000"/>
          <w:sz w:val="30"/>
        </w:rPr>
        <w:t>一、部门收支总体情况表</w:t>
      </w:r>
    </w:p>
    <w:p w14:paraId="32BB10A6">
      <w:pPr>
        <w:spacing w:line="560" w:lineRule="exact"/>
        <w:ind w:firstLine="900"/>
        <w:jc w:val="both"/>
      </w:pPr>
      <w:r>
        <w:rPr>
          <w:rFonts w:ascii="仿宋" w:hAnsi="仿宋" w:eastAsia="仿宋" w:cs="仿宋"/>
          <w:b w:val="0"/>
          <w:color w:val="000000"/>
          <w:sz w:val="30"/>
        </w:rPr>
        <w:t>二、部门收入总体情况表</w:t>
      </w:r>
    </w:p>
    <w:p w14:paraId="639710F2">
      <w:pPr>
        <w:spacing w:line="560" w:lineRule="exact"/>
        <w:ind w:firstLine="900"/>
        <w:jc w:val="both"/>
      </w:pPr>
      <w:r>
        <w:rPr>
          <w:rFonts w:ascii="仿宋" w:hAnsi="仿宋" w:eastAsia="仿宋" w:cs="仿宋"/>
          <w:b w:val="0"/>
          <w:color w:val="000000"/>
          <w:sz w:val="30"/>
        </w:rPr>
        <w:t>三、部门支出总体情况表</w:t>
      </w:r>
    </w:p>
    <w:p w14:paraId="46A42B26">
      <w:pPr>
        <w:spacing w:line="560" w:lineRule="exact"/>
        <w:ind w:firstLine="900"/>
        <w:jc w:val="both"/>
      </w:pPr>
      <w:r>
        <w:rPr>
          <w:rFonts w:ascii="仿宋" w:hAnsi="仿宋" w:eastAsia="仿宋" w:cs="仿宋"/>
          <w:b w:val="0"/>
          <w:color w:val="000000"/>
          <w:sz w:val="30"/>
        </w:rPr>
        <w:t>四、财政拨款收支总体情况表</w:t>
      </w:r>
    </w:p>
    <w:p w14:paraId="75C60D5F">
      <w:pPr>
        <w:spacing w:line="560" w:lineRule="exact"/>
        <w:ind w:firstLine="900"/>
        <w:jc w:val="both"/>
      </w:pPr>
      <w:r>
        <w:rPr>
          <w:rFonts w:ascii="仿宋" w:hAnsi="仿宋" w:eastAsia="仿宋" w:cs="仿宋"/>
          <w:b w:val="0"/>
          <w:color w:val="000000"/>
          <w:sz w:val="30"/>
        </w:rPr>
        <w:t>五、一般公共预算支出情况表</w:t>
      </w:r>
    </w:p>
    <w:p w14:paraId="5AFDB5DE">
      <w:pPr>
        <w:spacing w:line="560" w:lineRule="exact"/>
        <w:ind w:firstLine="900"/>
        <w:jc w:val="both"/>
      </w:pPr>
      <w:r>
        <w:rPr>
          <w:rFonts w:ascii="仿宋" w:hAnsi="仿宋" w:eastAsia="仿宋" w:cs="仿宋"/>
          <w:b w:val="0"/>
          <w:color w:val="000000"/>
          <w:sz w:val="30"/>
        </w:rPr>
        <w:t>六、一般公共预算基本支出情况表</w:t>
      </w:r>
    </w:p>
    <w:p w14:paraId="493C2CB4">
      <w:pPr>
        <w:spacing w:line="560" w:lineRule="exact"/>
        <w:ind w:firstLine="900"/>
        <w:jc w:val="both"/>
      </w:pPr>
      <w:r>
        <w:rPr>
          <w:rFonts w:ascii="仿宋" w:hAnsi="仿宋" w:eastAsia="仿宋" w:cs="仿宋"/>
          <w:b w:val="0"/>
          <w:color w:val="000000"/>
          <w:sz w:val="30"/>
        </w:rPr>
        <w:t>七、一般公共预算“三公”经费支出情况表</w:t>
      </w:r>
    </w:p>
    <w:p w14:paraId="62D7D2B5">
      <w:pPr>
        <w:spacing w:line="560" w:lineRule="exact"/>
        <w:ind w:firstLine="900"/>
        <w:jc w:val="both"/>
      </w:pPr>
      <w:r>
        <w:rPr>
          <w:rFonts w:ascii="仿宋" w:hAnsi="仿宋" w:eastAsia="仿宋" w:cs="仿宋"/>
          <w:b w:val="0"/>
          <w:color w:val="000000"/>
          <w:sz w:val="30"/>
        </w:rPr>
        <w:t>八、政府性基金预算支出情况表</w:t>
      </w:r>
    </w:p>
    <w:p w14:paraId="43E32AAB">
      <w:pPr>
        <w:spacing w:line="560" w:lineRule="exact"/>
        <w:ind w:firstLine="900"/>
        <w:jc w:val="both"/>
      </w:pPr>
      <w:r>
        <w:rPr>
          <w:rFonts w:ascii="仿宋" w:hAnsi="仿宋" w:eastAsia="仿宋" w:cs="仿宋"/>
          <w:b w:val="0"/>
          <w:color w:val="000000"/>
          <w:sz w:val="30"/>
        </w:rPr>
        <w:t>九、国有资本经营预算支出情况表</w:t>
      </w:r>
    </w:p>
    <w:p w14:paraId="318F4AC7">
      <w:pPr>
        <w:spacing w:line="560" w:lineRule="exact"/>
        <w:ind w:firstLine="900"/>
        <w:jc w:val="both"/>
      </w:pPr>
      <w:r>
        <w:rPr>
          <w:rFonts w:ascii="仿宋" w:hAnsi="仿宋" w:eastAsia="仿宋" w:cs="仿宋"/>
          <w:b w:val="0"/>
          <w:color w:val="000000"/>
          <w:sz w:val="30"/>
        </w:rPr>
        <w:t>十、项目支出表</w:t>
      </w:r>
    </w:p>
    <w:p w14:paraId="33757DF2">
      <w:pPr>
        <w:spacing w:line="560" w:lineRule="exact"/>
        <w:ind w:firstLine="900"/>
        <w:jc w:val="both"/>
      </w:pPr>
      <w:r>
        <w:rPr>
          <w:rFonts w:ascii="仿宋" w:hAnsi="仿宋" w:eastAsia="仿宋" w:cs="仿宋"/>
          <w:b w:val="0"/>
          <w:color w:val="000000"/>
          <w:sz w:val="30"/>
        </w:rPr>
        <w:t>十一、关于空表的说明</w:t>
      </w:r>
    </w:p>
    <w:p w14:paraId="0F59ECBD">
      <w:pPr>
        <w:pageBreakBefore/>
        <w:spacing w:line="560" w:lineRule="exact"/>
        <w:ind w:firstLine="0"/>
        <w:jc w:val="center"/>
      </w:pPr>
      <w:r>
        <w:rPr>
          <w:rFonts w:ascii="方正小标宋简体" w:hAnsi="方正小标宋简体" w:eastAsia="方正小标宋简体" w:cs="方正小标宋简体"/>
          <w:b/>
          <w:color w:val="000000"/>
          <w:sz w:val="48"/>
        </w:rPr>
        <w:t>第一部分 概况</w:t>
      </w:r>
    </w:p>
    <w:p w14:paraId="53A1CF89">
      <w:pPr>
        <w:spacing w:line="560" w:lineRule="exact"/>
        <w:ind w:firstLine="600"/>
        <w:jc w:val="both"/>
      </w:pPr>
      <w:r>
        <w:rPr>
          <w:rFonts w:ascii="黑体" w:hAnsi="黑体" w:eastAsia="黑体" w:cs="黑体"/>
          <w:b/>
          <w:color w:val="353232"/>
          <w:sz w:val="30"/>
        </w:rPr>
        <w:t>一、主要职责</w:t>
      </w:r>
    </w:p>
    <w:p w14:paraId="740E8FC4">
      <w:pPr>
        <w:spacing w:line="560" w:lineRule="exact"/>
        <w:ind w:firstLine="600"/>
        <w:jc w:val="both"/>
      </w:pPr>
      <w:r>
        <w:rPr>
          <w:rFonts w:ascii="仿宋" w:hAnsi="仿宋" w:eastAsia="仿宋" w:cs="仿宋"/>
          <w:b w:val="0"/>
          <w:color w:val="000000"/>
          <w:sz w:val="30"/>
        </w:rPr>
        <w:t>主要职责是做好基层党组织建设，服务党员、群众。负责辖区内党组织开展活动和服务党员、群众工作；负责审批服务、公共服务等各类便民事项的受累等事务性工作；负责本镇群众性文化体育活动，发展和扶持基层文化体育队伍，积极开展全民健身活动；搞好农村文化宣传阵地建设，抓好农村文艺团队的发展，组织开展经常性的群众文体活动；配合上级有关部门做好辖区内文化娱乐场所和设施的管理工作；负责广播电视新闻采编和上级新闻单位报送有关新闻资料等工作。</w:t>
      </w:r>
    </w:p>
    <w:p w14:paraId="043586A4">
      <w:pPr>
        <w:spacing w:line="560" w:lineRule="exact"/>
        <w:ind w:firstLine="600"/>
        <w:jc w:val="both"/>
      </w:pPr>
      <w:r>
        <w:rPr>
          <w:rFonts w:ascii="黑体" w:hAnsi="黑体" w:eastAsia="黑体" w:cs="黑体"/>
          <w:b/>
          <w:color w:val="000000"/>
          <w:sz w:val="30"/>
        </w:rPr>
        <w:t>二、机构设置情况</w:t>
      </w:r>
    </w:p>
    <w:p w14:paraId="661B71B6">
      <w:pPr>
        <w:spacing w:line="560" w:lineRule="exact"/>
        <w:ind w:firstLine="600"/>
        <w:jc w:val="both"/>
      </w:pPr>
      <w:r>
        <w:rPr>
          <w:rFonts w:ascii="仿宋" w:hAnsi="仿宋" w:eastAsia="仿宋" w:cs="仿宋"/>
          <w:b w:val="0"/>
          <w:color w:val="000000"/>
          <w:sz w:val="30"/>
        </w:rPr>
        <w:t>天津市西青区辛口镇党群服务中心部门内设1个职能科室；下辖1个预算单位。</w:t>
      </w:r>
    </w:p>
    <w:p w14:paraId="256EA61D">
      <w:pPr>
        <w:spacing w:line="560" w:lineRule="exact"/>
        <w:ind w:firstLine="600"/>
        <w:jc w:val="both"/>
      </w:pPr>
      <w:r>
        <w:rPr>
          <w:rFonts w:ascii="仿宋" w:hAnsi="仿宋" w:eastAsia="仿宋" w:cs="仿宋"/>
          <w:b w:val="0"/>
          <w:color w:val="000000"/>
          <w:sz w:val="30"/>
        </w:rPr>
        <w:t>纳入天津市西青区辛口镇党群服务中心单位2025年部门预算编制范围的预算单位包括：</w:t>
      </w:r>
    </w:p>
    <w:p w14:paraId="1D5D14BE">
      <w:pPr>
        <w:spacing w:line="560" w:lineRule="exact"/>
        <w:ind w:firstLine="600"/>
        <w:jc w:val="both"/>
      </w:pPr>
      <w:r>
        <w:rPr>
          <w:rFonts w:ascii="仿宋" w:hAnsi="仿宋" w:eastAsia="仿宋" w:cs="仿宋"/>
          <w:b w:val="0"/>
          <w:color w:val="000000"/>
          <w:sz w:val="30"/>
        </w:rPr>
        <w:t>1.天津市西青区辛口镇党群服务中心</w:t>
      </w:r>
    </w:p>
    <w:p w14:paraId="4FF85D6C">
      <w:pPr>
        <w:pageBreakBefore/>
        <w:spacing w:line="560" w:lineRule="exact"/>
        <w:ind w:firstLine="0"/>
        <w:jc w:val="center"/>
      </w:pPr>
      <w:r>
        <w:rPr>
          <w:rFonts w:ascii="方正小标宋简体" w:hAnsi="方正小标宋简体" w:eastAsia="方正小标宋简体" w:cs="方正小标宋简体"/>
          <w:b/>
          <w:color w:val="000000"/>
          <w:sz w:val="48"/>
        </w:rPr>
        <w:t>第二部分  2025年度单位预算情况说明</w:t>
      </w:r>
    </w:p>
    <w:p w14:paraId="53E8D0A4">
      <w:pPr>
        <w:spacing w:line="560" w:lineRule="exact"/>
        <w:ind w:firstLine="600"/>
        <w:jc w:val="both"/>
      </w:pPr>
      <w:r>
        <w:rPr>
          <w:rFonts w:ascii="黑体" w:hAnsi="黑体" w:eastAsia="黑体" w:cs="黑体"/>
          <w:b/>
          <w:color w:val="000000"/>
          <w:sz w:val="30"/>
        </w:rPr>
        <w:t>一、关于收支总体情况表的说明</w:t>
      </w:r>
    </w:p>
    <w:p w14:paraId="167F2E1E">
      <w:pPr>
        <w:spacing w:line="560" w:lineRule="exact"/>
        <w:ind w:firstLine="600"/>
        <w:jc w:val="both"/>
      </w:pPr>
      <w:r>
        <w:rPr>
          <w:rFonts w:ascii="仿宋" w:hAnsi="仿宋" w:eastAsia="仿宋" w:cs="仿宋"/>
          <w:b w:val="0"/>
          <w:color w:val="000000"/>
          <w:sz w:val="30"/>
        </w:rPr>
        <w:t>按照综合预算的原则，天津市西青区辛口镇党群服务中心单位所有收入和支出均纳入部门预算管理。收入包括：一般公共预算拨款收入1,912.74万元、政府性基金预算拨款收入0万元、国有资本经营预算拨款收入0万元、财政专户管理资金收入0万元、事业收入0万元、事业单位经营收入0万元、上级补助收入0万元、附属单位上缴收入0万元、其他收入0万元、上年结转结余914.07万元；支出包括：文化旅游体育与传媒支出1,108.66万元、农林水支出210.69万元、教育支出2.67万元、科学技术支出12.00万元、社会保障和就业支出141.62万元、一般公共服务支出1,325.50万元、卫生健康支出25.69万元。天津市西青区辛口镇党群服务中心单位2025年收支总预算2,826.82万元。</w:t>
      </w:r>
    </w:p>
    <w:p w14:paraId="41E22D56">
      <w:pPr>
        <w:spacing w:line="560" w:lineRule="exact"/>
        <w:ind w:firstLine="600"/>
        <w:jc w:val="both"/>
      </w:pPr>
      <w:r>
        <w:rPr>
          <w:rFonts w:ascii="黑体" w:hAnsi="黑体" w:eastAsia="黑体" w:cs="黑体"/>
          <w:b/>
          <w:color w:val="000000"/>
          <w:sz w:val="30"/>
        </w:rPr>
        <w:t>二、关于收入总体情况表的说明</w:t>
      </w:r>
    </w:p>
    <w:p w14:paraId="6CD84BFF">
      <w:pPr>
        <w:spacing w:line="560" w:lineRule="exact"/>
        <w:ind w:firstLine="600"/>
        <w:jc w:val="both"/>
      </w:pPr>
      <w:r>
        <w:rPr>
          <w:rFonts w:ascii="仿宋" w:hAnsi="仿宋" w:eastAsia="仿宋" w:cs="仿宋"/>
          <w:b w:val="0"/>
          <w:color w:val="000000"/>
          <w:sz w:val="30"/>
        </w:rPr>
        <w:t>天津市西青区辛口镇党群服务中心单位2025年部门预算收入2,826.82万元，与上年预算相比增加1,127.00万元，主要原因是增加了项目经费和人员经费。其中：上年结转结余914.07万元，占32.34%；一般公共预算1,912.74万元，占67.66%；政府性基金预算0万元，占0%；国有资本经营预算0万元，占0%；财政专户管理资金0万元，占0%；事业收入0万元，占0%；事业单位经营收入0万元，占0%；上级补助收入0万元，占0%；附属单位上缴收入0万元，占0%；其他收入0万元，占0%。</w:t>
      </w:r>
    </w:p>
    <w:p w14:paraId="5667CC71">
      <w:pPr>
        <w:spacing w:line="560" w:lineRule="exact"/>
        <w:ind w:firstLine="600"/>
        <w:jc w:val="both"/>
      </w:pPr>
      <w:r>
        <w:rPr>
          <w:rFonts w:ascii="黑体" w:hAnsi="黑体" w:eastAsia="黑体" w:cs="黑体"/>
          <w:b/>
          <w:color w:val="000000"/>
          <w:sz w:val="30"/>
        </w:rPr>
        <w:t>三、关于支出总体情况表的说明</w:t>
      </w:r>
    </w:p>
    <w:p w14:paraId="60E92A2B">
      <w:pPr>
        <w:spacing w:line="560" w:lineRule="exact"/>
        <w:ind w:firstLine="600"/>
        <w:jc w:val="both"/>
      </w:pPr>
      <w:r>
        <w:rPr>
          <w:rFonts w:ascii="仿宋" w:hAnsi="仿宋" w:eastAsia="仿宋" w:cs="仿宋"/>
          <w:b w:val="0"/>
          <w:color w:val="000000"/>
          <w:sz w:val="30"/>
        </w:rPr>
        <w:t>天津市西青区辛口镇党群服务中心单位2025年支出预算2,826.82万元，与上年预算相比增加1,127.00万元，主要原因是增加了项目经费和人员经费。其中：基本支出1,245.97万元，占44.08%；项目支出1,580.85万元，占55.92%；事业单位经营支出0万元，占0%；上缴上级支出0万元，占0%；对附属单位补助支出0万元，占0%。</w:t>
      </w:r>
    </w:p>
    <w:p w14:paraId="69B43519">
      <w:pPr>
        <w:spacing w:line="560" w:lineRule="exact"/>
        <w:ind w:firstLine="600"/>
        <w:jc w:val="both"/>
      </w:pPr>
      <w:r>
        <w:rPr>
          <w:rFonts w:ascii="黑体" w:hAnsi="黑体" w:eastAsia="黑体" w:cs="黑体"/>
          <w:b/>
          <w:color w:val="000000"/>
          <w:sz w:val="30"/>
        </w:rPr>
        <w:t>四、关于财政拨款收支总体情况表的说明</w:t>
      </w:r>
    </w:p>
    <w:p w14:paraId="513B8520">
      <w:pPr>
        <w:spacing w:line="560" w:lineRule="exact"/>
        <w:ind w:firstLine="600"/>
        <w:jc w:val="both"/>
      </w:pPr>
      <w:r>
        <w:rPr>
          <w:rFonts w:ascii="仿宋" w:hAnsi="仿宋" w:eastAsia="仿宋" w:cs="仿宋"/>
          <w:b w:val="0"/>
          <w:color w:val="000000"/>
          <w:sz w:val="30"/>
        </w:rPr>
        <w:t>天津市西青区辛口镇党群服务中心单位2025年财政拨款收入预算2,826.82万元，与上年预算相比增加1,127.00万元，主要原因是增加了项目经费和人员经费。收入包括：一般公共预算拨款收入1,912.74万元、政府性基金预算拨款收入0万元、上年财政结转结余914.07万元、国有资本经营预算拨款收入0万元、2025年财政拨款支出预算2,826.82万元，与上年预算相比增加1,127.00万元，主要原因是增加了项目经费和人员经费。支出包括：一般公共服务支出1,325.50万元 ；教育支出2.67万元 ；科学技术支出12.00万元 ；文化旅游体育与传媒支出1,108.66万元 ；社会保障和就业支出141.62万元 ；卫生健康支出25.69万元 ；农林水支出210.69万元。</w:t>
      </w:r>
    </w:p>
    <w:p w14:paraId="31892A34">
      <w:pPr>
        <w:spacing w:line="560" w:lineRule="exact"/>
        <w:ind w:firstLine="600"/>
        <w:jc w:val="both"/>
      </w:pPr>
      <w:r>
        <w:rPr>
          <w:rFonts w:ascii="黑体" w:hAnsi="黑体" w:eastAsia="黑体" w:cs="黑体"/>
          <w:b/>
          <w:color w:val="000000"/>
          <w:sz w:val="30"/>
        </w:rPr>
        <w:t>五、关于一般公共预算支出情况表的说明</w:t>
      </w:r>
    </w:p>
    <w:p w14:paraId="53F9B17C">
      <w:pPr>
        <w:spacing w:line="560" w:lineRule="exact"/>
        <w:ind w:firstLine="600"/>
        <w:jc w:val="both"/>
      </w:pPr>
      <w:r>
        <w:rPr>
          <w:rFonts w:ascii="楷体" w:hAnsi="楷体" w:eastAsia="楷体" w:cs="楷体"/>
          <w:b/>
          <w:color w:val="000000"/>
          <w:sz w:val="30"/>
        </w:rPr>
        <w:t>（一）总体情况</w:t>
      </w:r>
    </w:p>
    <w:p w14:paraId="7B6352C2">
      <w:pPr>
        <w:spacing w:line="560" w:lineRule="exact"/>
        <w:ind w:firstLine="600"/>
        <w:jc w:val="both"/>
      </w:pPr>
      <w:r>
        <w:rPr>
          <w:rFonts w:ascii="仿宋" w:hAnsi="仿宋" w:eastAsia="仿宋" w:cs="仿宋"/>
          <w:b w:val="0"/>
          <w:color w:val="000000"/>
          <w:sz w:val="30"/>
        </w:rPr>
        <w:t>天津市西青区辛口镇党群服务中心单位2025年一般公共预算支出2,826.82万元(上年1,699.82万元），与上年预算相比增加1,127.00万元，主要原因是增加了项目经费和人员经费。</w:t>
      </w:r>
    </w:p>
    <w:p w14:paraId="6762B24B">
      <w:pPr>
        <w:spacing w:line="560" w:lineRule="exact"/>
        <w:ind w:firstLine="600"/>
        <w:jc w:val="both"/>
      </w:pPr>
      <w:r>
        <w:rPr>
          <w:rFonts w:ascii="楷体" w:hAnsi="楷体" w:eastAsia="楷体" w:cs="楷体"/>
          <w:b/>
          <w:color w:val="000000"/>
          <w:sz w:val="30"/>
        </w:rPr>
        <w:t>（二）具体情况</w:t>
      </w:r>
    </w:p>
    <w:p w14:paraId="7C0F8F0C">
      <w:pPr>
        <w:spacing w:line="560" w:lineRule="exact"/>
        <w:ind w:firstLine="600"/>
        <w:jc w:val="both"/>
      </w:pPr>
      <w:r>
        <w:rPr>
          <w:rFonts w:ascii="仿宋" w:hAnsi="仿宋" w:eastAsia="仿宋" w:cs="仿宋"/>
          <w:b w:val="0"/>
          <w:color w:val="000000"/>
          <w:sz w:val="30"/>
        </w:rPr>
        <w:t>1、“一般公共服务支出（类）”1,325.50万元，与上年预算相比增加319.40万元，主要原因是在职人员工资增加和基本公用经费增加，其中：“组织事务（款）”50.65万元，包括：“一般行政管理事务（组织事务）（项）”30.00万元，主要用于基层党建工作经费和党建工作经费项目支出；“其他组织事务支出（项）”20.65万元，主要用于基层党建工作经费和党建工作经费项目支出。</w:t>
      </w:r>
    </w:p>
    <w:p w14:paraId="11182668">
      <w:pPr>
        <w:spacing w:line="560" w:lineRule="exact"/>
        <w:ind w:firstLine="600"/>
        <w:jc w:val="both"/>
      </w:pPr>
      <w:r>
        <w:rPr>
          <w:rFonts w:ascii="仿宋" w:hAnsi="仿宋" w:eastAsia="仿宋" w:cs="仿宋"/>
          <w:b w:val="0"/>
          <w:color w:val="000000"/>
          <w:sz w:val="30"/>
        </w:rPr>
        <w:t>“宣传事务（款）”971.51万元，包括：“事业运行（宣传事务）（项）”626.51万元，主要用于职工工资及运行经费；“其他宣传事务支出（项）”345.00万元，主要用于宣传经费和社会事务服务中心运行经费项目支出。</w:t>
      </w:r>
    </w:p>
    <w:p w14:paraId="7E7E991F">
      <w:pPr>
        <w:spacing w:line="560" w:lineRule="exact"/>
        <w:ind w:firstLine="600"/>
        <w:jc w:val="both"/>
      </w:pPr>
      <w:r>
        <w:rPr>
          <w:rFonts w:ascii="仿宋" w:hAnsi="仿宋" w:eastAsia="仿宋" w:cs="仿宋"/>
          <w:b w:val="0"/>
          <w:color w:val="000000"/>
          <w:sz w:val="30"/>
        </w:rPr>
        <w:t>“社会工作事务（款）”303.34万元，包括：“其他社会工作事务支出（项）”303.34万元，主要用于社会工作者薪酬。</w:t>
      </w:r>
    </w:p>
    <w:p w14:paraId="53BD1D5C">
      <w:pPr>
        <w:spacing w:line="560" w:lineRule="exact"/>
        <w:ind w:firstLine="600"/>
        <w:jc w:val="both"/>
      </w:pPr>
      <w:r>
        <w:rPr>
          <w:rFonts w:ascii="仿宋" w:hAnsi="仿宋" w:eastAsia="仿宋" w:cs="仿宋"/>
          <w:b w:val="0"/>
          <w:color w:val="000000"/>
          <w:sz w:val="30"/>
        </w:rPr>
        <w:t>2、“教育支出（类）”2.67万元，与上年预算相比增加1.81万元，主要原因是增加了公用经费，其中：“进修及培训（款）”2.67万元，包括：“培训支出（项）”2.67万元，主要用于职工培训费。</w:t>
      </w:r>
    </w:p>
    <w:p w14:paraId="4E3FE5C4">
      <w:pPr>
        <w:spacing w:line="560" w:lineRule="exact"/>
        <w:ind w:firstLine="600"/>
        <w:jc w:val="both"/>
      </w:pPr>
      <w:r>
        <w:rPr>
          <w:rFonts w:ascii="仿宋" w:hAnsi="仿宋" w:eastAsia="仿宋" w:cs="仿宋"/>
          <w:b w:val="0"/>
          <w:color w:val="000000"/>
          <w:sz w:val="30"/>
        </w:rPr>
        <w:t>3、“科学技术支出（类）”12.00万元，与上年预算相比增加0.01万元，主要原因是增加了项目费用，其中：“科学技术普及（款）”12.00万元，包括：“其他科学技术普及支出（项）”12.00万元，主要用于基层科普活动经费保障项目支出。</w:t>
      </w:r>
    </w:p>
    <w:p w14:paraId="7FA6AF3F">
      <w:pPr>
        <w:spacing w:line="560" w:lineRule="exact"/>
        <w:ind w:firstLine="600"/>
        <w:jc w:val="both"/>
      </w:pPr>
      <w:r>
        <w:rPr>
          <w:rFonts w:ascii="仿宋" w:hAnsi="仿宋" w:eastAsia="仿宋" w:cs="仿宋"/>
          <w:b w:val="0"/>
          <w:color w:val="000000"/>
          <w:sz w:val="30"/>
        </w:rPr>
        <w:t>4、“文化旅游体育与传媒支出（类）”1,108.66万元，与上年预算相比增加982.30万元，主要原因是结转2024年支持农文旅农业融合发展专项资金和区级基层公共文化服务体系建设资金等项目支出。其中：“文化和旅游（款）”1,108.25万元，包括：“群众文化（项）”208.25万元，主要用于文化中心运行经费，街镇村居基本公共文化服务项目，公共图书馆、美术馆、文化馆(站)免费开放补助项目，区级基层公共文化服务体系建设资金项目和市级、中央补助地方公共文化服务体系建设补助资金等项目支出；“其他文化和旅游支出（项）”900.00万元，主要用于支持农文旅农业融合发展专项资金项目支出。</w:t>
      </w:r>
    </w:p>
    <w:p w14:paraId="4E6E974C">
      <w:pPr>
        <w:spacing w:line="560" w:lineRule="exact"/>
        <w:ind w:firstLine="600"/>
        <w:jc w:val="both"/>
      </w:pPr>
      <w:r>
        <w:rPr>
          <w:rFonts w:ascii="仿宋" w:hAnsi="仿宋" w:eastAsia="仿宋" w:cs="仿宋"/>
          <w:b w:val="0"/>
          <w:color w:val="000000"/>
          <w:sz w:val="30"/>
        </w:rPr>
        <w:t>“新闻出版电影（款）”0.41万元，包括：“其他新闻出版电影支出（项）”0.41万元，主要用于老放映员生活补助项目支出。</w:t>
      </w:r>
    </w:p>
    <w:p w14:paraId="226D7391">
      <w:pPr>
        <w:spacing w:line="560" w:lineRule="exact"/>
        <w:ind w:firstLine="600"/>
        <w:jc w:val="both"/>
      </w:pPr>
      <w:r>
        <w:rPr>
          <w:rFonts w:ascii="仿宋" w:hAnsi="仿宋" w:eastAsia="仿宋" w:cs="仿宋"/>
          <w:b w:val="0"/>
          <w:color w:val="000000"/>
          <w:sz w:val="30"/>
        </w:rPr>
        <w:t>5、“社会保障和就业支出（类）”141.62万元，与上年预算相比减少291.16万元，主要原因是压减支出，其中：“行政事业单位养老支出（款）”68.46万元，包括：“事业单位离退休（项）”19.17万元，主要用于退休人员工资；“机关事业单位基本养老保险缴费支出（项）”32.86万元，主要用于职工养老保险；“机关事业单位职业年金缴费支出（项）”16.43万元，主要用于职工职业年金。</w:t>
      </w:r>
    </w:p>
    <w:p w14:paraId="62205263">
      <w:pPr>
        <w:spacing w:line="560" w:lineRule="exact"/>
        <w:ind w:firstLine="600"/>
        <w:jc w:val="both"/>
      </w:pPr>
      <w:r>
        <w:rPr>
          <w:rFonts w:ascii="仿宋" w:hAnsi="仿宋" w:eastAsia="仿宋" w:cs="仿宋"/>
          <w:b w:val="0"/>
          <w:color w:val="000000"/>
          <w:sz w:val="30"/>
        </w:rPr>
        <w:t>“就业补助（款）”30.07万元，包括：“就业创业服务补贴（项）”30.07万元，主要用于劳动保障和劳动关系协管员专职薪资。</w:t>
      </w:r>
    </w:p>
    <w:p w14:paraId="493C439C">
      <w:pPr>
        <w:spacing w:line="560" w:lineRule="exact"/>
        <w:ind w:firstLine="600"/>
        <w:jc w:val="both"/>
      </w:pPr>
      <w:r>
        <w:rPr>
          <w:rFonts w:ascii="仿宋" w:hAnsi="仿宋" w:eastAsia="仿宋" w:cs="仿宋"/>
          <w:b w:val="0"/>
          <w:color w:val="000000"/>
          <w:sz w:val="30"/>
        </w:rPr>
        <w:t>“残疾人事业（款）”23.07万元，包括：“残疾人就业（项）”23.07万元，主要用于残疾人专职薪资。</w:t>
      </w:r>
    </w:p>
    <w:p w14:paraId="23ECD01A">
      <w:pPr>
        <w:spacing w:line="560" w:lineRule="exact"/>
        <w:ind w:firstLine="600"/>
        <w:jc w:val="both"/>
      </w:pPr>
      <w:r>
        <w:rPr>
          <w:rFonts w:ascii="仿宋" w:hAnsi="仿宋" w:eastAsia="仿宋" w:cs="仿宋"/>
          <w:b w:val="0"/>
          <w:color w:val="000000"/>
          <w:sz w:val="30"/>
        </w:rPr>
        <w:t>“其他社会保障和就业支出（款）”20.03万元，包括：“其他社会保障和就业支出（项）”20.03万元，主要用于社会组织人员薪酬。</w:t>
      </w:r>
    </w:p>
    <w:p w14:paraId="604A9823">
      <w:pPr>
        <w:spacing w:line="560" w:lineRule="exact"/>
        <w:ind w:firstLine="600"/>
        <w:jc w:val="both"/>
      </w:pPr>
      <w:r>
        <w:rPr>
          <w:rFonts w:ascii="仿宋" w:hAnsi="仿宋" w:eastAsia="仿宋" w:cs="仿宋"/>
          <w:b w:val="0"/>
          <w:color w:val="000000"/>
          <w:sz w:val="30"/>
        </w:rPr>
        <w:t>6、“卫生健康支出（类）”25.69万元，与上年预算相比增加1.77万元，主要原因是职工医疗保险增加。其中：“行政事业单位医疗（款）”25.69万元，包括：“事业单位医疗（项）”20.54万元，主要用于职工医疗保险；“其他行政事业单位医疗支出（项）”5.15万元，主要用于职工、退休人员补充医疗保险。</w:t>
      </w:r>
    </w:p>
    <w:p w14:paraId="66BA4669">
      <w:pPr>
        <w:spacing w:line="560" w:lineRule="exact"/>
        <w:ind w:firstLine="600"/>
        <w:jc w:val="both"/>
      </w:pPr>
      <w:r>
        <w:rPr>
          <w:rFonts w:ascii="仿宋" w:hAnsi="仿宋" w:eastAsia="仿宋" w:cs="仿宋"/>
          <w:b w:val="0"/>
          <w:color w:val="000000"/>
          <w:sz w:val="30"/>
        </w:rPr>
        <w:t>7、“农林水支出（类）”210.69万元，与上年预算相比增加120.69万元，主要原因是增加了农村专职党务工作者报酬，其中：“农村综合改革（款）”210.69万元，包括：“对村民委员会和村党支部的补助（项）”210.69万元，主要用于农村专职党务工作者报酬。</w:t>
      </w:r>
    </w:p>
    <w:p w14:paraId="4AF75022">
      <w:pPr>
        <w:spacing w:line="560" w:lineRule="exact"/>
        <w:ind w:firstLine="600"/>
        <w:jc w:val="both"/>
      </w:pPr>
      <w:r>
        <w:rPr>
          <w:rFonts w:ascii="黑体" w:hAnsi="黑体" w:eastAsia="黑体" w:cs="黑体"/>
          <w:b/>
          <w:color w:val="000000"/>
          <w:sz w:val="30"/>
        </w:rPr>
        <w:t>六、关于一般公共预算基本支出情况表的说明</w:t>
      </w:r>
    </w:p>
    <w:p w14:paraId="65CFB139">
      <w:pPr>
        <w:spacing w:line="560" w:lineRule="exact"/>
        <w:ind w:firstLine="600"/>
        <w:jc w:val="both"/>
      </w:pPr>
      <w:r>
        <w:rPr>
          <w:rFonts w:ascii="仿宋" w:hAnsi="仿宋" w:eastAsia="仿宋" w:cs="仿宋"/>
          <w:b w:val="0"/>
          <w:color w:val="000000"/>
          <w:sz w:val="30"/>
        </w:rPr>
        <w:t>天津市西青区辛口镇党群服务中心单位2025年一般公共预算基本支出 1,245.97万元，与上年预算相比增加109.98万元，主要原因是增加了在职职工，其中：人员经费 1,000.84万元，主要包括：基本工资、津贴补贴、绩效工资、机关事业单位基本养老保险缴费、职业年金缴费、职工基本医疗保险缴费、其他社会保障缴费、住房公积金、医疗费、其他工资福利支出、退休费、生活补助、医疗费补助、奖励金、其他对个人和家庭的补助等；</w:t>
      </w:r>
    </w:p>
    <w:p w14:paraId="2DB49624">
      <w:pPr>
        <w:spacing w:line="560" w:lineRule="exact"/>
        <w:ind w:firstLine="600"/>
        <w:jc w:val="both"/>
      </w:pPr>
      <w:r>
        <w:rPr>
          <w:rFonts w:ascii="仿宋" w:hAnsi="仿宋" w:eastAsia="仿宋" w:cs="仿宋"/>
          <w:b w:val="0"/>
          <w:color w:val="000000"/>
          <w:sz w:val="30"/>
        </w:rPr>
        <w:t>公用经费245.12万元，主要包括：办公费、水费、电费、邮电费、物业管理费、差旅费、维修（护）费、培训费、委托业务费、工会经费、福利费、其他交通费用、其他商品和服务支出、办公设备购置等。</w:t>
      </w:r>
    </w:p>
    <w:p w14:paraId="7EE5DE24">
      <w:pPr>
        <w:spacing w:line="560" w:lineRule="exact"/>
        <w:ind w:firstLine="600"/>
        <w:jc w:val="both"/>
      </w:pPr>
      <w:r>
        <w:rPr>
          <w:rFonts w:ascii="黑体" w:hAnsi="黑体" w:eastAsia="黑体" w:cs="黑体"/>
          <w:b/>
          <w:color w:val="000000"/>
          <w:sz w:val="30"/>
        </w:rPr>
        <w:t>七、关于一般公共预算“三公”经费支出情况表的说明</w:t>
      </w:r>
      <w:r>
        <w:rPr>
          <w:rFonts w:ascii="仿宋" w:hAnsi="仿宋" w:eastAsia="仿宋" w:cs="仿宋"/>
          <w:b w:val="0"/>
          <w:color w:val="000000"/>
          <w:sz w:val="30"/>
        </w:rPr>
        <w:t>2025年一般公共预算“三公”经费安排0万元，与2024年预算相比增加0.00万元，主要原因是本单位一般公共预算未安排“三公”经费。</w:t>
      </w:r>
    </w:p>
    <w:p w14:paraId="28C8EBFC">
      <w:pPr>
        <w:spacing w:line="560" w:lineRule="exact"/>
        <w:ind w:firstLine="600"/>
        <w:jc w:val="both"/>
      </w:pPr>
      <w:r>
        <w:rPr>
          <w:rFonts w:ascii="仿宋" w:hAnsi="仿宋" w:eastAsia="仿宋" w:cs="仿宋"/>
          <w:b w:val="0"/>
          <w:color w:val="000000"/>
          <w:sz w:val="30"/>
        </w:rPr>
        <w:t>具体情况：</w:t>
      </w:r>
    </w:p>
    <w:p w14:paraId="330A5E98">
      <w:pPr>
        <w:spacing w:line="560" w:lineRule="exact"/>
        <w:ind w:firstLine="600"/>
        <w:jc w:val="both"/>
      </w:pPr>
      <w:r>
        <w:rPr>
          <w:rFonts w:ascii="仿宋" w:hAnsi="仿宋" w:eastAsia="仿宋" w:cs="仿宋"/>
          <w:b w:val="0"/>
          <w:color w:val="000000"/>
          <w:sz w:val="30"/>
        </w:rPr>
        <w:t>一、2025年因公出国（境）费预算0万元，与2024年预算相比增加0.00万元，主要原因是本单位一般公共预算未安排因公出国（境）费。</w:t>
      </w:r>
    </w:p>
    <w:p w14:paraId="794A5426">
      <w:pPr>
        <w:spacing w:line="560" w:lineRule="exact"/>
        <w:ind w:firstLine="600"/>
        <w:jc w:val="both"/>
      </w:pPr>
      <w:r>
        <w:rPr>
          <w:rFonts w:ascii="仿宋" w:hAnsi="仿宋" w:eastAsia="仿宋" w:cs="仿宋"/>
          <w:b w:val="0"/>
          <w:color w:val="000000"/>
          <w:sz w:val="30"/>
        </w:rPr>
        <w:t>二、2025年公务用车购置及运行费预算0万元，</w:t>
      </w:r>
    </w:p>
    <w:p w14:paraId="2F9F7511">
      <w:pPr>
        <w:spacing w:line="560" w:lineRule="exact"/>
        <w:ind w:firstLine="600"/>
        <w:jc w:val="both"/>
      </w:pPr>
      <w:r>
        <w:rPr>
          <w:rFonts w:ascii="仿宋" w:hAnsi="仿宋" w:eastAsia="仿宋" w:cs="仿宋"/>
          <w:b w:val="0"/>
          <w:color w:val="000000"/>
          <w:sz w:val="30"/>
        </w:rPr>
        <w:t>其中公务用车运行费0万元，与2024年预算相比增加0万元，主要原因是本单位一般公共预算未安排公务用车运行费；公务用车购置费0万元，与2024年预算相比增加0万元，主要原因是本单位一般公共预算未安排公务用车购置费。</w:t>
      </w:r>
    </w:p>
    <w:p w14:paraId="615C4341">
      <w:pPr>
        <w:spacing w:line="560" w:lineRule="exact"/>
        <w:ind w:firstLine="600"/>
        <w:jc w:val="both"/>
      </w:pPr>
      <w:r>
        <w:rPr>
          <w:rFonts w:ascii="仿宋" w:hAnsi="仿宋" w:eastAsia="仿宋" w:cs="仿宋"/>
          <w:b w:val="0"/>
          <w:color w:val="000000"/>
          <w:sz w:val="30"/>
        </w:rPr>
        <w:t>三、2025年公务接待费预算0万元，与2024年预算相比增加0万元，主要原因是本单位一般公共预算未安排公务接待费。</w:t>
      </w:r>
    </w:p>
    <w:p w14:paraId="67986A39">
      <w:pPr>
        <w:spacing w:line="560" w:lineRule="exact"/>
        <w:ind w:firstLine="600"/>
        <w:jc w:val="both"/>
      </w:pPr>
      <w:r>
        <w:rPr>
          <w:rFonts w:ascii="黑体" w:hAnsi="黑体" w:eastAsia="黑体" w:cs="黑体"/>
          <w:b/>
          <w:color w:val="000000"/>
          <w:sz w:val="30"/>
        </w:rPr>
        <w:t>八、关于政府性基金预算支出情况表的说明</w:t>
      </w:r>
    </w:p>
    <w:p w14:paraId="0DBB7E79">
      <w:pPr>
        <w:spacing w:line="560" w:lineRule="exact"/>
        <w:ind w:firstLine="600"/>
        <w:jc w:val="both"/>
      </w:pPr>
      <w:r>
        <w:rPr>
          <w:rFonts w:ascii="仿宋" w:hAnsi="仿宋" w:eastAsia="仿宋" w:cs="仿宋"/>
          <w:b w:val="0"/>
          <w:color w:val="000000"/>
          <w:sz w:val="30"/>
        </w:rPr>
        <w:t>2025年天津市西青区辛口镇党群服务中心单位预算中没有使用政府性基金预算安排的支出。</w:t>
      </w:r>
    </w:p>
    <w:p w14:paraId="2AF898F2">
      <w:pPr>
        <w:spacing w:line="560" w:lineRule="exact"/>
        <w:ind w:firstLine="600"/>
        <w:jc w:val="both"/>
      </w:pPr>
      <w:r>
        <w:rPr>
          <w:rFonts w:ascii="黑体" w:hAnsi="黑体" w:eastAsia="黑体" w:cs="黑体"/>
          <w:b/>
          <w:color w:val="000000"/>
          <w:sz w:val="30"/>
        </w:rPr>
        <w:t>九、关于国有资本经营预算支出情况表的说明</w:t>
      </w:r>
    </w:p>
    <w:p w14:paraId="1DCA7047">
      <w:pPr>
        <w:spacing w:line="560" w:lineRule="exact"/>
        <w:ind w:firstLine="600"/>
        <w:jc w:val="both"/>
      </w:pPr>
      <w:r>
        <w:rPr>
          <w:rFonts w:ascii="仿宋" w:hAnsi="仿宋" w:eastAsia="仿宋" w:cs="仿宋"/>
          <w:b w:val="0"/>
          <w:color w:val="000000"/>
          <w:sz w:val="30"/>
        </w:rPr>
        <w:t>2025年天津市西青区辛口镇党群服务中心单位预算中没有使用国有资本经营预算安排的支出。</w:t>
      </w:r>
    </w:p>
    <w:p w14:paraId="79DE8AEE">
      <w:pPr>
        <w:spacing w:line="560" w:lineRule="exact"/>
        <w:ind w:firstLine="600"/>
        <w:jc w:val="both"/>
      </w:pPr>
      <w:r>
        <w:rPr>
          <w:rFonts w:ascii="黑体" w:hAnsi="黑体" w:eastAsia="黑体" w:cs="黑体"/>
          <w:b/>
          <w:color w:val="000000"/>
          <w:sz w:val="30"/>
        </w:rPr>
        <w:t>十、其他重要事项的情况说明</w:t>
      </w:r>
    </w:p>
    <w:p w14:paraId="023B3140">
      <w:pPr>
        <w:spacing w:line="560" w:lineRule="exact"/>
        <w:ind w:firstLine="600"/>
        <w:jc w:val="both"/>
      </w:pPr>
      <w:r>
        <w:rPr>
          <w:rFonts w:ascii="楷体" w:hAnsi="楷体" w:eastAsia="楷体" w:cs="楷体"/>
          <w:b/>
          <w:color w:val="000000"/>
          <w:sz w:val="30"/>
        </w:rPr>
        <w:t>（一）机关运行经费。</w:t>
      </w:r>
    </w:p>
    <w:p w14:paraId="17655530">
      <w:pPr>
        <w:spacing w:line="560" w:lineRule="exact"/>
        <w:ind w:firstLine="600"/>
        <w:jc w:val="both"/>
      </w:pPr>
      <w:r>
        <w:rPr>
          <w:rFonts w:ascii="仿宋" w:hAnsi="仿宋" w:eastAsia="仿宋" w:cs="仿宋"/>
          <w:b w:val="0"/>
          <w:color w:val="000000"/>
          <w:sz w:val="30"/>
        </w:rPr>
        <w:t>本部门2025年未安排机关运行经费预算。</w:t>
      </w:r>
    </w:p>
    <w:p w14:paraId="6B7628F6">
      <w:pPr>
        <w:spacing w:line="560" w:lineRule="exact"/>
        <w:ind w:firstLine="600"/>
        <w:jc w:val="both"/>
        <w:rPr>
          <w:rFonts w:ascii="楷体" w:hAnsi="楷体" w:eastAsia="楷体" w:cs="楷体"/>
          <w:b/>
          <w:color w:val="000000"/>
          <w:sz w:val="30"/>
        </w:rPr>
      </w:pPr>
      <w:r>
        <w:rPr>
          <w:rFonts w:ascii="楷体" w:hAnsi="楷体" w:eastAsia="楷体" w:cs="楷体"/>
          <w:b/>
          <w:color w:val="000000"/>
          <w:sz w:val="30"/>
        </w:rPr>
        <w:t>（二）政府采购情况</w:t>
      </w:r>
    </w:p>
    <w:p w14:paraId="0F9B21E6">
      <w:pPr>
        <w:spacing w:line="560" w:lineRule="exact"/>
        <w:ind w:firstLine="600"/>
        <w:jc w:val="both"/>
      </w:pPr>
      <w:bookmarkStart w:id="0" w:name="_GoBack"/>
      <w:bookmarkEnd w:id="0"/>
      <w:r>
        <w:rPr>
          <w:rFonts w:ascii="仿宋" w:hAnsi="仿宋" w:eastAsia="仿宋" w:cs="仿宋"/>
          <w:b w:val="0"/>
          <w:color w:val="000000"/>
          <w:sz w:val="30"/>
        </w:rPr>
        <w:t>本部门2025年安排政府采购预算0万元，其中：政府采购货物支出0万元、政府采购工程支出0万元、政府采购服务支出0万元。主要项目是：本部门2025年未安排政府采购预算。</w:t>
      </w:r>
    </w:p>
    <w:p w14:paraId="721010DC">
      <w:pPr>
        <w:spacing w:line="560" w:lineRule="exact"/>
        <w:ind w:firstLine="600"/>
        <w:jc w:val="both"/>
      </w:pPr>
      <w:r>
        <w:rPr>
          <w:rFonts w:ascii="楷体" w:hAnsi="楷体" w:eastAsia="楷体" w:cs="楷体"/>
          <w:b/>
          <w:color w:val="000000"/>
          <w:sz w:val="30"/>
        </w:rPr>
        <w:t>（三）国有资产占用情况</w:t>
      </w:r>
    </w:p>
    <w:p w14:paraId="5B205CB5">
      <w:pPr>
        <w:spacing w:line="560" w:lineRule="exact"/>
        <w:ind w:firstLine="600"/>
        <w:jc w:val="both"/>
      </w:pPr>
      <w:r>
        <w:rPr>
          <w:rFonts w:ascii="仿宋" w:hAnsi="仿宋" w:eastAsia="仿宋" w:cs="仿宋"/>
          <w:b w:val="0"/>
          <w:color w:val="000000"/>
          <w:sz w:val="30"/>
        </w:rPr>
        <w:t>截至2024年12月底，本部门各单位共有车辆0辆、其中：副部（省）级及以上领导用车0辆、主要负责人干部用车0辆、机要通信用车0辆、应急保障用车0辆、执法执勤用车0辆、特种专业技术用车0辆、离退休干部用车0辆、其他用车0辆，其他用车主要包括0。单价（账面原值）100万以上的设备0台（套）。</w:t>
      </w:r>
    </w:p>
    <w:p w14:paraId="3D68E4A8">
      <w:pPr>
        <w:spacing w:line="560" w:lineRule="exact"/>
        <w:ind w:firstLine="600"/>
        <w:jc w:val="both"/>
      </w:pPr>
      <w:r>
        <w:rPr>
          <w:rFonts w:ascii="楷体" w:hAnsi="楷体" w:eastAsia="楷体" w:cs="楷体"/>
          <w:b/>
          <w:color w:val="000000"/>
          <w:sz w:val="30"/>
        </w:rPr>
        <w:t>（四）预算绩效情况说明。</w:t>
      </w:r>
    </w:p>
    <w:p w14:paraId="656F20DD">
      <w:pPr>
        <w:spacing w:line="560" w:lineRule="exact"/>
        <w:ind w:firstLine="600"/>
        <w:jc w:val="both"/>
      </w:pPr>
      <w:r>
        <w:rPr>
          <w:rFonts w:ascii="仿宋" w:hAnsi="仿宋" w:eastAsia="仿宋" w:cs="仿宋"/>
          <w:b w:val="0"/>
          <w:color w:val="000000"/>
          <w:sz w:val="30"/>
        </w:rPr>
        <w:t>天津市西青区辛口镇党群服务中心单位2025年实行绩效目标管理的项目17个，涉及预算金额1580.85万元。</w:t>
      </w:r>
    </w:p>
    <w:p w14:paraId="227B1A4E">
      <w:pPr>
        <w:pageBreakBefore/>
        <w:spacing w:line="560" w:lineRule="exact"/>
        <w:ind w:firstLine="0"/>
        <w:jc w:val="center"/>
      </w:pPr>
      <w:r>
        <w:rPr>
          <w:rFonts w:ascii="黑体" w:hAnsi="黑体" w:eastAsia="黑体" w:cs="黑体"/>
          <w:b/>
          <w:color w:val="000000"/>
          <w:sz w:val="48"/>
        </w:rPr>
        <w:t>第三部分  名词解释</w:t>
      </w:r>
    </w:p>
    <w:p w14:paraId="67D5CFE9">
      <w:pPr>
        <w:spacing w:line="560" w:lineRule="exact"/>
        <w:ind w:firstLine="560"/>
        <w:jc w:val="both"/>
      </w:pPr>
      <w:r>
        <w:rPr>
          <w:rFonts w:ascii="仿宋" w:hAnsi="仿宋" w:eastAsia="仿宋" w:cs="仿宋"/>
          <w:b/>
          <w:color w:val="000000"/>
          <w:sz w:val="28"/>
        </w:rPr>
        <w:t>一、部门预算:</w:t>
      </w:r>
      <w:r>
        <w:rPr>
          <w:rFonts w:ascii="仿宋" w:hAnsi="仿宋" w:eastAsia="仿宋" w:cs="仿宋"/>
          <w:b w:val="0"/>
          <w:color w:val="000000"/>
          <w:sz w:val="28"/>
        </w:rPr>
        <w:t>是指主管预算部门依据相关法律、法规和政策规定及其行使职能需要，组织所属预算单位编制并逐级上报、审核、汇总，经财政部门审核后按程序依法批准的部门综合收支计划。</w:t>
      </w:r>
    </w:p>
    <w:p w14:paraId="524565B4">
      <w:pPr>
        <w:spacing w:line="560" w:lineRule="exact"/>
        <w:ind w:firstLine="560"/>
        <w:jc w:val="both"/>
      </w:pPr>
      <w:r>
        <w:rPr>
          <w:rFonts w:ascii="仿宋" w:hAnsi="仿宋" w:eastAsia="仿宋" w:cs="仿宋"/>
          <w:b/>
          <w:color w:val="000000"/>
          <w:sz w:val="28"/>
        </w:rPr>
        <w:t>二、基本支出：</w:t>
      </w:r>
      <w:r>
        <w:rPr>
          <w:rFonts w:ascii="仿宋" w:hAnsi="仿宋" w:eastAsia="仿宋" w:cs="仿宋"/>
          <w:b w:val="0"/>
          <w:color w:val="000000"/>
          <w:sz w:val="28"/>
        </w:rPr>
        <w:t>指为保障机构正常运转、完成日常工作任务而发生的人员支出和公用支出。</w:t>
      </w:r>
    </w:p>
    <w:p w14:paraId="6440CFED">
      <w:pPr>
        <w:spacing w:line="560" w:lineRule="exact"/>
        <w:ind w:firstLine="560"/>
        <w:jc w:val="both"/>
      </w:pPr>
      <w:r>
        <w:rPr>
          <w:rFonts w:ascii="仿宋" w:hAnsi="仿宋" w:eastAsia="仿宋" w:cs="仿宋"/>
          <w:b/>
          <w:color w:val="000000"/>
          <w:sz w:val="28"/>
        </w:rPr>
        <w:t>三、项目支出:</w:t>
      </w:r>
      <w:r>
        <w:rPr>
          <w:rFonts w:ascii="仿宋" w:hAnsi="仿宋" w:eastAsia="仿宋" w:cs="仿宋"/>
          <w:b w:val="0"/>
          <w:color w:val="000000"/>
          <w:sz w:val="28"/>
        </w:rPr>
        <w:t>指在基本支出之外为完成特定行政任务和事业发展目标所发生的支出。</w:t>
      </w:r>
    </w:p>
    <w:p w14:paraId="2312E628">
      <w:pPr>
        <w:spacing w:line="560" w:lineRule="exact"/>
        <w:ind w:firstLine="560"/>
        <w:jc w:val="both"/>
      </w:pPr>
      <w:r>
        <w:rPr>
          <w:rFonts w:ascii="仿宋" w:hAnsi="仿宋" w:eastAsia="仿宋" w:cs="仿宋"/>
          <w:b/>
          <w:color w:val="000000"/>
          <w:sz w:val="28"/>
        </w:rPr>
        <w:t>四、机关运行经费：</w:t>
      </w:r>
      <w:r>
        <w:rPr>
          <w:rFonts w:ascii="仿宋" w:hAnsi="仿宋" w:eastAsia="仿宋" w:cs="仿宋"/>
          <w:b w:val="0"/>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14:paraId="6CE912D2">
      <w:pPr>
        <w:pageBreakBefore/>
        <w:spacing w:line="2000" w:lineRule="exact"/>
        <w:ind w:firstLine="0"/>
        <w:jc w:val="center"/>
      </w:pPr>
      <w:r>
        <w:rPr>
          <w:rFonts w:ascii="方正小标宋简体" w:hAnsi="方正小标宋简体" w:eastAsia="方正小标宋简体" w:cs="方正小标宋简体"/>
          <w:b/>
          <w:color w:val="000000"/>
          <w:sz w:val="48"/>
        </w:rPr>
        <w:t>第四部分   2025年单位预算表</w:t>
      </w:r>
    </w:p>
    <w:p w14:paraId="5EEB63FD">
      <w:pPr>
        <w:spacing w:line="560" w:lineRule="exact"/>
        <w:ind w:firstLine="0"/>
        <w:jc w:val="both"/>
      </w:pPr>
      <w:r>
        <w:rPr>
          <w:rFonts w:ascii="楷体" w:hAnsi="楷体" w:eastAsia="楷体" w:cs="楷体"/>
          <w:b/>
          <w:color w:val="000000"/>
          <w:sz w:val="30"/>
        </w:rPr>
        <w:t>一、《部门收支总体情况表》</w:t>
      </w:r>
    </w:p>
    <w:p w14:paraId="7F63F6D7">
      <w:pPr>
        <w:spacing w:line="560" w:lineRule="exact"/>
        <w:ind w:firstLine="0"/>
        <w:jc w:val="both"/>
      </w:pPr>
      <w:r>
        <w:rPr>
          <w:rFonts w:ascii="楷体" w:hAnsi="楷体" w:eastAsia="楷体" w:cs="楷体"/>
          <w:b/>
          <w:color w:val="000000"/>
          <w:sz w:val="30"/>
        </w:rPr>
        <w:t>二、《部门收入总体情况表》</w:t>
      </w:r>
    </w:p>
    <w:p w14:paraId="05DA4E11">
      <w:pPr>
        <w:spacing w:line="560" w:lineRule="exact"/>
        <w:ind w:firstLine="0"/>
        <w:jc w:val="both"/>
      </w:pPr>
      <w:r>
        <w:rPr>
          <w:rFonts w:ascii="楷体" w:hAnsi="楷体" w:eastAsia="楷体" w:cs="楷体"/>
          <w:b/>
          <w:color w:val="000000"/>
          <w:sz w:val="30"/>
        </w:rPr>
        <w:t>三、《部门支出总体情况表》</w:t>
      </w:r>
    </w:p>
    <w:p w14:paraId="093EF2BF">
      <w:pPr>
        <w:spacing w:line="560" w:lineRule="exact"/>
        <w:ind w:firstLine="0"/>
        <w:jc w:val="both"/>
      </w:pPr>
      <w:r>
        <w:rPr>
          <w:rFonts w:ascii="楷体" w:hAnsi="楷体" w:eastAsia="楷体" w:cs="楷体"/>
          <w:b/>
          <w:color w:val="000000"/>
          <w:sz w:val="30"/>
        </w:rPr>
        <w:t>四、《财政拨款收支总体情况表》</w:t>
      </w:r>
    </w:p>
    <w:p w14:paraId="20384886">
      <w:pPr>
        <w:spacing w:line="560" w:lineRule="exact"/>
        <w:ind w:firstLine="0"/>
        <w:jc w:val="both"/>
      </w:pPr>
      <w:r>
        <w:rPr>
          <w:rFonts w:ascii="楷体" w:hAnsi="楷体" w:eastAsia="楷体" w:cs="楷体"/>
          <w:b/>
          <w:color w:val="000000"/>
          <w:sz w:val="30"/>
        </w:rPr>
        <w:t>五、《一般公共预算支出情况表》</w:t>
      </w:r>
    </w:p>
    <w:p w14:paraId="09EA9596">
      <w:pPr>
        <w:spacing w:line="560" w:lineRule="exact"/>
        <w:ind w:firstLine="0"/>
        <w:jc w:val="both"/>
      </w:pPr>
      <w:r>
        <w:rPr>
          <w:rFonts w:ascii="楷体" w:hAnsi="楷体" w:eastAsia="楷体" w:cs="楷体"/>
          <w:b/>
          <w:color w:val="000000"/>
          <w:sz w:val="30"/>
        </w:rPr>
        <w:t>六、《一般公共预算基本支出情况表》</w:t>
      </w:r>
    </w:p>
    <w:p w14:paraId="6834E564">
      <w:pPr>
        <w:spacing w:line="560" w:lineRule="exact"/>
        <w:ind w:firstLine="0"/>
        <w:jc w:val="both"/>
      </w:pPr>
      <w:r>
        <w:rPr>
          <w:rFonts w:ascii="楷体" w:hAnsi="楷体" w:eastAsia="楷体" w:cs="楷体"/>
          <w:b/>
          <w:color w:val="000000"/>
          <w:sz w:val="30"/>
        </w:rPr>
        <w:t>七、《一般公共预算“三公”经费支出情况表》</w:t>
      </w:r>
    </w:p>
    <w:p w14:paraId="3BBEAF96">
      <w:pPr>
        <w:spacing w:line="560" w:lineRule="exact"/>
        <w:ind w:firstLine="0"/>
        <w:jc w:val="both"/>
      </w:pPr>
      <w:r>
        <w:rPr>
          <w:rFonts w:ascii="楷体" w:hAnsi="楷体" w:eastAsia="楷体" w:cs="楷体"/>
          <w:b/>
          <w:color w:val="000000"/>
          <w:sz w:val="30"/>
        </w:rPr>
        <w:t>八、《政府性基金预算支出情况表》</w:t>
      </w:r>
    </w:p>
    <w:p w14:paraId="46F32499">
      <w:pPr>
        <w:spacing w:line="560" w:lineRule="exact"/>
        <w:ind w:firstLine="0"/>
        <w:jc w:val="both"/>
      </w:pPr>
      <w:r>
        <w:rPr>
          <w:rFonts w:ascii="楷体" w:hAnsi="楷体" w:eastAsia="楷体" w:cs="楷体"/>
          <w:b/>
          <w:color w:val="000000"/>
          <w:sz w:val="30"/>
        </w:rPr>
        <w:t>九、《国有资本经营预算支出情况表》</w:t>
      </w:r>
    </w:p>
    <w:p w14:paraId="35A44655">
      <w:pPr>
        <w:spacing w:line="560" w:lineRule="exact"/>
        <w:ind w:firstLine="0"/>
        <w:jc w:val="both"/>
      </w:pPr>
      <w:r>
        <w:rPr>
          <w:rFonts w:ascii="楷体" w:hAnsi="楷体" w:eastAsia="楷体" w:cs="楷体"/>
          <w:b/>
          <w:color w:val="000000"/>
          <w:sz w:val="30"/>
        </w:rPr>
        <w:t>十、《项目支出表》</w:t>
      </w:r>
    </w:p>
    <w:p w14:paraId="4DCAC4DF">
      <w:pPr>
        <w:spacing w:line="560" w:lineRule="exact"/>
        <w:ind w:firstLine="0"/>
        <w:jc w:val="both"/>
      </w:pPr>
      <w:r>
        <w:rPr>
          <w:rFonts w:ascii="楷体" w:hAnsi="楷体" w:eastAsia="楷体" w:cs="楷体"/>
          <w:b/>
          <w:color w:val="000000"/>
          <w:sz w:val="30"/>
        </w:rPr>
        <w:t>十一、关于空表说明</w:t>
      </w:r>
    </w:p>
    <w:p w14:paraId="786FFEB5">
      <w:pPr>
        <w:pageBreakBefore/>
        <w:spacing w:line="560" w:lineRule="exact"/>
        <w:ind w:firstLine="0"/>
        <w:jc w:val="both"/>
      </w:pPr>
      <w:r>
        <w:rPr>
          <w:rFonts w:ascii="仿宋" w:hAnsi="仿宋" w:eastAsia="仿宋" w:cs="仿宋"/>
          <w:b/>
          <w:color w:val="000000"/>
          <w:sz w:val="30"/>
        </w:rPr>
        <w:t>十一、关于空表的说明</w:t>
      </w:r>
    </w:p>
    <w:p w14:paraId="23A2B8E9">
      <w:pPr>
        <w:spacing w:line="560" w:lineRule="exact"/>
        <w:ind w:firstLine="600"/>
        <w:jc w:val="both"/>
      </w:pPr>
      <w:r>
        <w:rPr>
          <w:rFonts w:ascii="仿宋" w:hAnsi="仿宋" w:eastAsia="仿宋" w:cs="仿宋"/>
          <w:b w:val="0"/>
          <w:color w:val="000000"/>
          <w:sz w:val="30"/>
        </w:rPr>
        <w:t>本单位2025年一般公共预算“三公”经费支出情况表为空表</w:t>
      </w:r>
    </w:p>
    <w:p w14:paraId="74086D8E">
      <w:pPr>
        <w:spacing w:line="560" w:lineRule="exact"/>
        <w:ind w:firstLine="600"/>
        <w:jc w:val="both"/>
      </w:pPr>
      <w:r>
        <w:rPr>
          <w:rFonts w:ascii="仿宋" w:hAnsi="仿宋" w:eastAsia="仿宋" w:cs="仿宋"/>
          <w:b w:val="0"/>
          <w:color w:val="000000"/>
          <w:sz w:val="30"/>
        </w:rPr>
        <w:t>本单位2025年政府性基金预算支出情况表为空表</w:t>
      </w:r>
    </w:p>
    <w:p w14:paraId="5274483C">
      <w:pPr>
        <w:spacing w:line="560" w:lineRule="exact"/>
        <w:ind w:firstLine="600"/>
        <w:jc w:val="both"/>
      </w:pPr>
      <w:r>
        <w:rPr>
          <w:rFonts w:ascii="仿宋" w:hAnsi="仿宋" w:eastAsia="仿宋" w:cs="仿宋"/>
          <w:b w:val="0"/>
          <w:color w:val="000000"/>
          <w:sz w:val="30"/>
        </w:rPr>
        <w:t>本单位2025年国有资本经营预算支出情况表为空表</w:t>
      </w:r>
    </w:p>
    <w:sectPr>
      <w:pgSz w:w="11906" w:h="16838"/>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5"/>
  <w:doNotDisplayPageBoundaries w:val="1"/>
  <w:documentProtection w:enforcement="0"/>
  <w:compat>
    <w:useFELayout/>
    <w:splitPgBreakAndParaMark/>
    <w:compatSetting w:name="compatibilityMode" w:uri="http://schemas.microsoft.com/office/word" w:val="12"/>
  </w:compat>
  <w:rsids>
    <w:rsidRoot w:val="00000000"/>
    <w:rsid w:val="6FB9532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14</Pages>
  <Words>4673</Words>
  <Characters>5247</Characters>
  <TotalTime>2</TotalTime>
  <ScaleCrop>false</ScaleCrop>
  <LinksUpToDate>false</LinksUpToDate>
  <CharactersWithSpaces>5275</CharactersWithSpaces>
  <Application>WPS Office_12.1.0.20305_F1E327BC-269C-435d-A152-05C5408002CA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2025-03-21T02:52:00Z</dcterms:created>
  <dc:creator>Apache POI</dc:creator>
  <cp:lastModifiedBy>等待</cp:lastModifiedBy>
  <dcterms:modified xsi:type="dcterms:W3CDTF">2025-03-24T05:44:52Z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eyJoZGlkIjoiMDUwMzllYmE2YWY0ZjVkMzg5ZjRlN2FiNTE4ZDYxYjQiLCJ1c2VySWQiOiIzODI2MjgyMTUifQ==</vt:lpwstr>
  </property>
  <property fmtid="{D5CDD505-2E9C-101B-9397-08002B2CF9AE}" pid="3" name="KSOProductBuildVer">
    <vt:lpwstr>2052-12.1.0.20305</vt:lpwstr>
  </property>
  <property fmtid="{D5CDD505-2E9C-101B-9397-08002B2CF9AE}" pid="4" name="ICV">
    <vt:lpwstr>AAFEC4F75498456494B00EF982658FA6_12</vt:lpwstr>
  </property>
</Properties>
</file>