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F5AA0">
      <w:pPr>
        <w:spacing w:line="2600" w:lineRule="exact"/>
        <w:jc w:val="center"/>
      </w:pPr>
      <w:r>
        <w:rPr>
          <w:rFonts w:ascii="方正小标宋简体" w:hAnsi="方正小标宋简体" w:eastAsia="方正小标宋简体" w:cs="方正小标宋简体"/>
          <w:b/>
          <w:color w:val="000000"/>
          <w:sz w:val="48"/>
        </w:rPr>
        <w:t>天津市西青区发展和改革委员会</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2025年度部门预算公开</w:t>
      </w:r>
    </w:p>
    <w:p w14:paraId="08447BB4">
      <w:pPr>
        <w:pageBreakBefore/>
        <w:spacing w:line="560" w:lineRule="exact"/>
        <w:jc w:val="center"/>
      </w:pPr>
      <w:r>
        <w:rPr>
          <w:rFonts w:ascii="黑体" w:hAnsi="黑体" w:eastAsia="黑体" w:cs="黑体"/>
          <w:b/>
          <w:color w:val="000000"/>
          <w:sz w:val="44"/>
        </w:rPr>
        <w:t>目    录</w:t>
      </w:r>
    </w:p>
    <w:p w14:paraId="464A581F">
      <w:pPr>
        <w:spacing w:line="560" w:lineRule="exact"/>
        <w:ind w:firstLine="900"/>
      </w:pPr>
      <w:r>
        <w:rPr>
          <w:rFonts w:ascii="仿宋" w:hAnsi="仿宋" w:eastAsia="仿宋" w:cs="仿宋"/>
          <w:b/>
          <w:color w:val="000000"/>
          <w:sz w:val="30"/>
        </w:rPr>
        <w:t>第一部分  概况</w:t>
      </w:r>
    </w:p>
    <w:p w14:paraId="2D236BCA">
      <w:pPr>
        <w:spacing w:line="560" w:lineRule="exact"/>
        <w:ind w:firstLine="900"/>
      </w:pPr>
      <w:r>
        <w:rPr>
          <w:rFonts w:ascii="仿宋" w:hAnsi="仿宋" w:eastAsia="仿宋" w:cs="仿宋"/>
          <w:color w:val="000000"/>
          <w:sz w:val="30"/>
        </w:rPr>
        <w:t>一、主要职责</w:t>
      </w:r>
    </w:p>
    <w:p w14:paraId="42EAE5A5">
      <w:pPr>
        <w:spacing w:line="560" w:lineRule="exact"/>
        <w:ind w:firstLine="900"/>
      </w:pPr>
      <w:r>
        <w:rPr>
          <w:rFonts w:ascii="仿宋" w:hAnsi="仿宋" w:eastAsia="仿宋" w:cs="仿宋"/>
          <w:color w:val="000000"/>
          <w:sz w:val="30"/>
        </w:rPr>
        <w:t>二、机构设置情况</w:t>
      </w:r>
    </w:p>
    <w:p w14:paraId="4878CCCC">
      <w:pPr>
        <w:spacing w:line="560" w:lineRule="exact"/>
        <w:ind w:firstLine="900"/>
      </w:pPr>
      <w:r>
        <w:rPr>
          <w:rFonts w:ascii="仿宋" w:hAnsi="仿宋" w:eastAsia="仿宋" w:cs="仿宋"/>
          <w:b/>
          <w:color w:val="000000"/>
          <w:sz w:val="30"/>
        </w:rPr>
        <w:t>第二部分  2025年部门情况说明</w:t>
      </w:r>
    </w:p>
    <w:p w14:paraId="5D55907D">
      <w:pPr>
        <w:spacing w:line="560" w:lineRule="exact"/>
        <w:ind w:firstLine="900"/>
      </w:pPr>
      <w:r>
        <w:rPr>
          <w:rFonts w:ascii="仿宋" w:hAnsi="仿宋" w:eastAsia="仿宋" w:cs="仿宋"/>
          <w:color w:val="000000"/>
          <w:sz w:val="30"/>
        </w:rPr>
        <w:t>一、关于收支总体情况表的说明</w:t>
      </w:r>
    </w:p>
    <w:p w14:paraId="3694F835">
      <w:pPr>
        <w:spacing w:line="560" w:lineRule="exact"/>
        <w:ind w:firstLine="900"/>
      </w:pPr>
      <w:r>
        <w:rPr>
          <w:rFonts w:ascii="仿宋" w:hAnsi="仿宋" w:eastAsia="仿宋" w:cs="仿宋"/>
          <w:color w:val="000000"/>
          <w:sz w:val="30"/>
        </w:rPr>
        <w:t>二、关于收入总体情况表的说明</w:t>
      </w:r>
    </w:p>
    <w:p w14:paraId="0C02D935">
      <w:pPr>
        <w:spacing w:line="560" w:lineRule="exact"/>
        <w:ind w:firstLine="900"/>
      </w:pPr>
      <w:r>
        <w:rPr>
          <w:rFonts w:ascii="仿宋" w:hAnsi="仿宋" w:eastAsia="仿宋" w:cs="仿宋"/>
          <w:color w:val="000000"/>
          <w:sz w:val="30"/>
        </w:rPr>
        <w:t>三、关于支出总体情况表的说明</w:t>
      </w:r>
    </w:p>
    <w:p w14:paraId="64537276">
      <w:pPr>
        <w:spacing w:line="560" w:lineRule="exact"/>
        <w:ind w:firstLine="900"/>
      </w:pPr>
      <w:r>
        <w:rPr>
          <w:rFonts w:ascii="仿宋" w:hAnsi="仿宋" w:eastAsia="仿宋" w:cs="仿宋"/>
          <w:color w:val="000000"/>
          <w:sz w:val="30"/>
        </w:rPr>
        <w:t>四、关于财政拨款收支总体情况表的说明</w:t>
      </w:r>
    </w:p>
    <w:p w14:paraId="705AF926">
      <w:pPr>
        <w:spacing w:line="560" w:lineRule="exact"/>
        <w:ind w:firstLine="900"/>
      </w:pPr>
      <w:r>
        <w:rPr>
          <w:rFonts w:ascii="仿宋" w:hAnsi="仿宋" w:eastAsia="仿宋" w:cs="仿宋"/>
          <w:color w:val="000000"/>
          <w:sz w:val="30"/>
        </w:rPr>
        <w:t>五、关于一般公共预算支出情况表的说明</w:t>
      </w:r>
    </w:p>
    <w:p w14:paraId="6D15104D">
      <w:pPr>
        <w:spacing w:line="560" w:lineRule="exact"/>
        <w:ind w:firstLine="900"/>
      </w:pPr>
      <w:r>
        <w:rPr>
          <w:rFonts w:ascii="仿宋" w:hAnsi="仿宋" w:eastAsia="仿宋" w:cs="仿宋"/>
          <w:color w:val="000000"/>
          <w:sz w:val="30"/>
        </w:rPr>
        <w:t>六、关于一般公共预算基本支出情况表的说明</w:t>
      </w:r>
    </w:p>
    <w:p w14:paraId="5C1F5095">
      <w:pPr>
        <w:spacing w:line="560" w:lineRule="exact"/>
        <w:ind w:firstLine="900"/>
      </w:pPr>
      <w:r>
        <w:rPr>
          <w:rFonts w:ascii="仿宋" w:hAnsi="仿宋" w:eastAsia="仿宋" w:cs="仿宋"/>
          <w:color w:val="000000"/>
          <w:sz w:val="30"/>
        </w:rPr>
        <w:t>七、关于一般公共预算“三公”经费支出情况表的说明</w:t>
      </w:r>
    </w:p>
    <w:p w14:paraId="386352A6">
      <w:pPr>
        <w:spacing w:line="560" w:lineRule="exact"/>
        <w:ind w:firstLine="900"/>
      </w:pPr>
      <w:r>
        <w:rPr>
          <w:rFonts w:ascii="仿宋" w:hAnsi="仿宋" w:eastAsia="仿宋" w:cs="仿宋"/>
          <w:color w:val="000000"/>
          <w:sz w:val="30"/>
        </w:rPr>
        <w:t>八、关于政府性基金预算支出情况表的说明</w:t>
      </w:r>
    </w:p>
    <w:p w14:paraId="55668112">
      <w:pPr>
        <w:spacing w:line="560" w:lineRule="exact"/>
        <w:ind w:firstLine="900"/>
      </w:pPr>
      <w:r>
        <w:rPr>
          <w:rFonts w:ascii="仿宋" w:hAnsi="仿宋" w:eastAsia="仿宋" w:cs="仿宋"/>
          <w:color w:val="000000"/>
          <w:sz w:val="30"/>
        </w:rPr>
        <w:t>九、关于国有资本经营预算支出情况表的说明</w:t>
      </w:r>
    </w:p>
    <w:p w14:paraId="5872766A">
      <w:pPr>
        <w:spacing w:line="560" w:lineRule="exact"/>
        <w:ind w:firstLine="900"/>
      </w:pPr>
      <w:r>
        <w:rPr>
          <w:rFonts w:ascii="仿宋" w:hAnsi="仿宋" w:eastAsia="仿宋" w:cs="仿宋"/>
          <w:color w:val="000000"/>
          <w:sz w:val="30"/>
        </w:rPr>
        <w:t>十、其他重要事项的情况说明</w:t>
      </w:r>
    </w:p>
    <w:p w14:paraId="3A35A968">
      <w:pPr>
        <w:spacing w:line="560" w:lineRule="exact"/>
        <w:ind w:firstLine="900"/>
      </w:pPr>
      <w:r>
        <w:rPr>
          <w:rFonts w:ascii="仿宋" w:hAnsi="仿宋" w:eastAsia="仿宋" w:cs="仿宋"/>
          <w:b/>
          <w:color w:val="000000"/>
          <w:sz w:val="30"/>
        </w:rPr>
        <w:t>第三部分  名词解释</w:t>
      </w:r>
    </w:p>
    <w:p w14:paraId="37B0E003">
      <w:pPr>
        <w:spacing w:line="560" w:lineRule="exact"/>
        <w:ind w:firstLine="900"/>
      </w:pPr>
      <w:r>
        <w:rPr>
          <w:rFonts w:ascii="仿宋" w:hAnsi="仿宋" w:eastAsia="仿宋" w:cs="仿宋"/>
          <w:b/>
          <w:color w:val="000000"/>
          <w:sz w:val="30"/>
        </w:rPr>
        <w:t>第四部分  2025年部门预算表</w:t>
      </w:r>
    </w:p>
    <w:p w14:paraId="178E95C7">
      <w:pPr>
        <w:spacing w:line="560" w:lineRule="exact"/>
        <w:ind w:firstLine="900"/>
      </w:pPr>
      <w:r>
        <w:rPr>
          <w:rFonts w:ascii="仿宋" w:hAnsi="仿宋" w:eastAsia="仿宋" w:cs="仿宋"/>
          <w:color w:val="000000"/>
          <w:sz w:val="30"/>
        </w:rPr>
        <w:t>一、部门收支总体情况表</w:t>
      </w:r>
    </w:p>
    <w:p w14:paraId="5414C018">
      <w:pPr>
        <w:spacing w:line="560" w:lineRule="exact"/>
        <w:ind w:firstLine="900"/>
      </w:pPr>
      <w:r>
        <w:rPr>
          <w:rFonts w:ascii="仿宋" w:hAnsi="仿宋" w:eastAsia="仿宋" w:cs="仿宋"/>
          <w:color w:val="000000"/>
          <w:sz w:val="30"/>
        </w:rPr>
        <w:t>二、部门收入总体情况表</w:t>
      </w:r>
    </w:p>
    <w:p w14:paraId="3B1A3987">
      <w:pPr>
        <w:spacing w:line="560" w:lineRule="exact"/>
        <w:ind w:firstLine="900"/>
      </w:pPr>
      <w:r>
        <w:rPr>
          <w:rFonts w:ascii="仿宋" w:hAnsi="仿宋" w:eastAsia="仿宋" w:cs="仿宋"/>
          <w:color w:val="000000"/>
          <w:sz w:val="30"/>
        </w:rPr>
        <w:t>三、部门支出总体情况表</w:t>
      </w:r>
    </w:p>
    <w:p w14:paraId="781DBD97">
      <w:pPr>
        <w:spacing w:line="560" w:lineRule="exact"/>
        <w:ind w:firstLine="900"/>
      </w:pPr>
      <w:r>
        <w:rPr>
          <w:rFonts w:ascii="仿宋" w:hAnsi="仿宋" w:eastAsia="仿宋" w:cs="仿宋"/>
          <w:color w:val="000000"/>
          <w:sz w:val="30"/>
        </w:rPr>
        <w:t>四、财政拨款收支总体情况表</w:t>
      </w:r>
    </w:p>
    <w:p w14:paraId="27FF49FC">
      <w:pPr>
        <w:spacing w:line="560" w:lineRule="exact"/>
        <w:ind w:firstLine="900"/>
      </w:pPr>
      <w:r>
        <w:rPr>
          <w:rFonts w:ascii="仿宋" w:hAnsi="仿宋" w:eastAsia="仿宋" w:cs="仿宋"/>
          <w:color w:val="000000"/>
          <w:sz w:val="30"/>
        </w:rPr>
        <w:t>五、一般公共预算支出情况表</w:t>
      </w:r>
    </w:p>
    <w:p w14:paraId="07C61367">
      <w:pPr>
        <w:spacing w:line="560" w:lineRule="exact"/>
        <w:ind w:firstLine="900"/>
      </w:pPr>
      <w:r>
        <w:rPr>
          <w:rFonts w:ascii="仿宋" w:hAnsi="仿宋" w:eastAsia="仿宋" w:cs="仿宋"/>
          <w:color w:val="000000"/>
          <w:sz w:val="30"/>
        </w:rPr>
        <w:t>六、一般公共预算基本支出情况表</w:t>
      </w:r>
    </w:p>
    <w:p w14:paraId="54E31B80">
      <w:pPr>
        <w:spacing w:line="560" w:lineRule="exact"/>
        <w:ind w:firstLine="900"/>
      </w:pPr>
      <w:r>
        <w:rPr>
          <w:rFonts w:ascii="仿宋" w:hAnsi="仿宋" w:eastAsia="仿宋" w:cs="仿宋"/>
          <w:color w:val="000000"/>
          <w:sz w:val="30"/>
        </w:rPr>
        <w:t>七、一般公共预算“三公”经费支出情况表</w:t>
      </w:r>
    </w:p>
    <w:p w14:paraId="27A2E979">
      <w:pPr>
        <w:spacing w:line="560" w:lineRule="exact"/>
        <w:ind w:firstLine="900"/>
      </w:pPr>
      <w:r>
        <w:rPr>
          <w:rFonts w:ascii="仿宋" w:hAnsi="仿宋" w:eastAsia="仿宋" w:cs="仿宋"/>
          <w:color w:val="000000"/>
          <w:sz w:val="30"/>
        </w:rPr>
        <w:t>八、政府性基金预算支出情况表</w:t>
      </w:r>
    </w:p>
    <w:p w14:paraId="2FE396FB">
      <w:pPr>
        <w:spacing w:line="560" w:lineRule="exact"/>
        <w:ind w:firstLine="900"/>
      </w:pPr>
      <w:r>
        <w:rPr>
          <w:rFonts w:ascii="仿宋" w:hAnsi="仿宋" w:eastAsia="仿宋" w:cs="仿宋"/>
          <w:color w:val="000000"/>
          <w:sz w:val="30"/>
        </w:rPr>
        <w:t>九、国有资本经营预算支出情况表</w:t>
      </w:r>
    </w:p>
    <w:p w14:paraId="4923F4B9">
      <w:pPr>
        <w:spacing w:line="560" w:lineRule="exact"/>
        <w:ind w:firstLine="900"/>
      </w:pPr>
      <w:r>
        <w:rPr>
          <w:rFonts w:ascii="仿宋" w:hAnsi="仿宋" w:eastAsia="仿宋" w:cs="仿宋"/>
          <w:color w:val="000000"/>
          <w:sz w:val="30"/>
        </w:rPr>
        <w:t>十、项目支出表</w:t>
      </w:r>
    </w:p>
    <w:p w14:paraId="0370395F">
      <w:pPr>
        <w:spacing w:line="560" w:lineRule="exact"/>
        <w:ind w:firstLine="900"/>
      </w:pPr>
      <w:r>
        <w:rPr>
          <w:rFonts w:ascii="仿宋" w:hAnsi="仿宋" w:eastAsia="仿宋" w:cs="仿宋"/>
          <w:color w:val="000000"/>
          <w:sz w:val="30"/>
        </w:rPr>
        <w:t>十一、关于空表的说明</w:t>
      </w:r>
    </w:p>
    <w:p w14:paraId="0355B507">
      <w:pPr>
        <w:pageBreakBefore/>
        <w:spacing w:line="560" w:lineRule="exact"/>
        <w:jc w:val="center"/>
      </w:pPr>
      <w:r>
        <w:rPr>
          <w:rFonts w:ascii="方正小标宋简体" w:hAnsi="方正小标宋简体" w:eastAsia="方正小标宋简体" w:cs="方正小标宋简体"/>
          <w:b/>
          <w:color w:val="000000"/>
          <w:sz w:val="48"/>
        </w:rPr>
        <w:t>第一部分 概况</w:t>
      </w:r>
    </w:p>
    <w:p w14:paraId="0A0E73E9">
      <w:pPr>
        <w:spacing w:line="560" w:lineRule="exact"/>
        <w:ind w:firstLine="600"/>
      </w:pPr>
      <w:r>
        <w:rPr>
          <w:rFonts w:ascii="黑体" w:hAnsi="黑体" w:eastAsia="黑体" w:cs="黑体"/>
          <w:b/>
          <w:color w:val="353232"/>
          <w:sz w:val="30"/>
        </w:rPr>
        <w:t>一、主要职责</w:t>
      </w:r>
    </w:p>
    <w:p w14:paraId="6781651E">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 xml:space="preserve">1.贯彻落实国家、本市关于国民经济和社会发展、经济体制改革、数据管理和信息化建设、价格管理和粮食管理等方面的法律、法规、规章和政策，起草全区相关规范性文件草案并组织实施。    </w:t>
      </w:r>
    </w:p>
    <w:p w14:paraId="6A1127EE">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 xml:space="preserve">2.拟订全区国民经济和社会发展战略、中长期规划和年度计划，并组织实施；组织、指导编制和衔接平衡各行业规划、专项规划、区域规划；统筹协调经济社会发展，研究分析国内外、全市经济形势，提出全区经济社会发展和优化重大经济结构的目标、政策。    </w:t>
      </w:r>
    </w:p>
    <w:p w14:paraId="2F35D537">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 xml:space="preserve">3.负责监测全区国民经济和社会发展态势，承担预测预警和信息引导的责任，研究宏观经济运行，协调解决经济运行中的重要问题；研究拟订人口发展战略规划。    </w:t>
      </w:r>
    </w:p>
    <w:p w14:paraId="3F416D35">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4.承担指导推进和综合协调全区经济体制改革的责任。组织拟订综合性经济体制改革方案，协调有关专项经济体制改革方案，会同有关部门搞好重要专项经济体制改革之间的衔接。</w:t>
      </w:r>
      <w:r>
        <w:rPr>
          <w:rFonts w:ascii="仿宋" w:hAnsi="仿宋" w:eastAsia="仿宋" w:cs="仿宋"/>
          <w:color w:val="000000"/>
          <w:sz w:val="30"/>
        </w:rPr>
        <w:br w:type="textWrapping"/>
      </w:r>
      <w:r>
        <w:rPr>
          <w:rFonts w:ascii="仿宋" w:hAnsi="仿宋" w:eastAsia="仿宋" w:cs="仿宋"/>
          <w:color w:val="000000"/>
          <w:sz w:val="30"/>
        </w:rPr>
        <w:t xml:space="preserve">    5.拟订全区固定资产投资总规模和投资结构的调控目标、政策和措施，组织推动和协调重大项目的筹划、储备相关工作。会同有关部门研究提出本区重点建设项目投资计划并组织推动实施；会同有关部门研究拟定政府重大项目融资方案。    </w:t>
      </w:r>
    </w:p>
    <w:p w14:paraId="4C075602">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 xml:space="preserve">6.组织推进全区社会信用体系建设。    </w:t>
      </w:r>
    </w:p>
    <w:p w14:paraId="507B56B4">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 xml:space="preserve">7.负责对重要商品和服务价格的变动进行监测，做好市场价格的预警、预测和综合分析；负责对全区行政事业性和经营服务性收费的管理；制定和调整区管商品和服务价格；组织重要农产品、重要商品和服务项目的成本调查和监审工作，开展价格鉴定和认定工作。    </w:t>
      </w:r>
    </w:p>
    <w:p w14:paraId="26BA1846">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 xml:space="preserve">8.会同有关部门组织推动全区城镇化领域建设，协调有关重大问题。    </w:t>
      </w:r>
    </w:p>
    <w:p w14:paraId="4C4209F3">
      <w:pPr>
        <w:spacing w:line="560" w:lineRule="exact"/>
        <w:ind w:firstLine="600"/>
        <w:rPr>
          <w:rFonts w:hint="eastAsia" w:ascii="仿宋" w:hAnsi="仿宋" w:eastAsia="仿宋" w:cs="仿宋"/>
          <w:color w:val="000000"/>
          <w:sz w:val="30"/>
        </w:rPr>
      </w:pPr>
      <w:r>
        <w:rPr>
          <w:rFonts w:ascii="仿宋" w:hAnsi="仿宋" w:eastAsia="仿宋" w:cs="仿宋"/>
          <w:color w:val="000000"/>
          <w:sz w:val="30"/>
        </w:rPr>
        <w:t>9.统筹全区关键指标与重点工作的职责分工，全区各街镇、开发区绩效考核相关工作。</w:t>
      </w:r>
    </w:p>
    <w:p w14:paraId="6D6FF5D1">
      <w:pPr>
        <w:spacing w:line="560" w:lineRule="exact"/>
        <w:ind w:firstLine="600"/>
        <w:rPr>
          <w:rFonts w:ascii="仿宋" w:hAnsi="仿宋" w:eastAsia="仿宋" w:cs="仿宋"/>
          <w:color w:val="000000"/>
          <w:sz w:val="30"/>
        </w:rPr>
      </w:pPr>
      <w:r>
        <w:rPr>
          <w:rFonts w:ascii="仿宋" w:hAnsi="仿宋" w:eastAsia="仿宋" w:cs="仿宋"/>
          <w:color w:val="000000"/>
          <w:sz w:val="30"/>
        </w:rPr>
        <w:t>10.负责全区“双碳”工作统筹谋划和安排部署；负责全区能源管理工作；综合管理全区节能工作；综合协调全区清洁生产工作；组织推动循环经济发展；负责油气长输管道保护。</w:t>
      </w:r>
      <w:r>
        <w:rPr>
          <w:rFonts w:ascii="仿宋" w:hAnsi="仿宋" w:eastAsia="仿宋" w:cs="仿宋"/>
          <w:color w:val="000000"/>
          <w:sz w:val="30"/>
        </w:rPr>
        <w:br w:type="textWrapping"/>
      </w:r>
      <w:r>
        <w:rPr>
          <w:rFonts w:ascii="仿宋" w:hAnsi="仿宋" w:eastAsia="仿宋" w:cs="仿宋"/>
          <w:color w:val="000000"/>
          <w:sz w:val="30"/>
        </w:rPr>
        <w:t xml:space="preserve">    11.负责全区粮食管理工作。</w:t>
      </w:r>
    </w:p>
    <w:p w14:paraId="5FC8E451">
      <w:pPr>
        <w:spacing w:line="560" w:lineRule="exact"/>
        <w:ind w:firstLine="600"/>
        <w:rPr>
          <w:rFonts w:ascii="仿宋" w:hAnsi="仿宋" w:eastAsia="仿宋" w:cs="仿宋"/>
          <w:color w:val="000000"/>
          <w:sz w:val="30"/>
        </w:rPr>
      </w:pPr>
      <w:r>
        <w:rPr>
          <w:rFonts w:ascii="仿宋" w:hAnsi="仿宋" w:eastAsia="仿宋" w:cs="仿宋"/>
          <w:color w:val="000000"/>
          <w:sz w:val="30"/>
        </w:rPr>
        <w:t>12.拟定中小企业、非国有经济发展战略和中长期发展规划，承担加强中小企业、非国有经济体系建设有关职责。</w:t>
      </w:r>
    </w:p>
    <w:p w14:paraId="73FC5B33">
      <w:pPr>
        <w:spacing w:line="560" w:lineRule="exact"/>
        <w:ind w:firstLine="600"/>
        <w:rPr>
          <w:rFonts w:ascii="仿宋" w:hAnsi="仿宋" w:eastAsia="仿宋" w:cs="仿宋"/>
          <w:color w:val="000000"/>
          <w:sz w:val="30"/>
        </w:rPr>
      </w:pPr>
      <w:r>
        <w:rPr>
          <w:rFonts w:ascii="仿宋" w:hAnsi="仿宋" w:eastAsia="仿宋" w:cs="仿宋"/>
          <w:color w:val="000000"/>
          <w:sz w:val="30"/>
        </w:rPr>
        <w:t>13.负责统筹全区数字经济、数字政府建设。协调推动数字经济发展，促进数字产业化和产业数字化；统筹推进全区信息化建设工作，指导全区数字基础设施建设；协调推动公共服务和社会治理信息化，协调促进智慧城市建设。</w:t>
      </w:r>
    </w:p>
    <w:p w14:paraId="3E814957">
      <w:pPr>
        <w:spacing w:line="560" w:lineRule="exact"/>
        <w:ind w:firstLine="600"/>
        <w:rPr>
          <w:rFonts w:ascii="仿宋" w:hAnsi="仿宋" w:eastAsia="仿宋" w:cs="仿宋"/>
          <w:color w:val="000000"/>
          <w:sz w:val="30"/>
        </w:rPr>
      </w:pPr>
      <w:r>
        <w:rPr>
          <w:rFonts w:ascii="仿宋" w:hAnsi="仿宋" w:eastAsia="仿宋" w:cs="仿宋"/>
          <w:color w:val="000000"/>
          <w:sz w:val="30"/>
        </w:rPr>
        <w:t xml:space="preserve"> 14.负责统筹数据资源整合共享，推动数据要素市场化建设。组织推动公共数据资源开发利用，促进信息资源跨行业跨部门互联互通；协调推进全区数据要素产权、流通、分配、治理等数据基础制度建设。</w:t>
      </w:r>
    </w:p>
    <w:p w14:paraId="79BD87CA">
      <w:pPr>
        <w:spacing w:line="560" w:lineRule="exact"/>
        <w:ind w:firstLine="600"/>
        <w:rPr>
          <w:rFonts w:ascii="仿宋" w:hAnsi="仿宋" w:eastAsia="仿宋" w:cs="仿宋"/>
          <w:color w:val="000000"/>
          <w:sz w:val="30"/>
        </w:rPr>
      </w:pPr>
      <w:r>
        <w:rPr>
          <w:rFonts w:ascii="仿宋" w:hAnsi="仿宋" w:eastAsia="仿宋" w:cs="仿宋"/>
          <w:color w:val="000000"/>
          <w:sz w:val="30"/>
        </w:rPr>
        <w:t>15.牵头负责全区东西部协作和对口支援合作工作</w:t>
      </w:r>
      <w:r>
        <w:rPr>
          <w:rFonts w:hint="eastAsia" w:ascii="仿宋" w:hAnsi="仿宋" w:eastAsia="仿宋" w:cs="仿宋"/>
          <w:color w:val="000000"/>
          <w:sz w:val="30"/>
        </w:rPr>
        <w:t>。</w:t>
      </w:r>
    </w:p>
    <w:p w14:paraId="571A318D">
      <w:pPr>
        <w:spacing w:line="560" w:lineRule="exact"/>
        <w:ind w:firstLine="600"/>
        <w:rPr>
          <w:rFonts w:ascii="仿宋" w:hAnsi="仿宋" w:eastAsia="仿宋" w:cs="仿宋"/>
          <w:color w:val="000000"/>
          <w:sz w:val="30"/>
        </w:rPr>
      </w:pPr>
      <w:r>
        <w:rPr>
          <w:rFonts w:ascii="仿宋" w:hAnsi="仿宋" w:eastAsia="仿宋" w:cs="仿宋"/>
          <w:color w:val="000000"/>
          <w:sz w:val="30"/>
        </w:rPr>
        <w:t>16.完成区委、区政府交办的其他事项。</w:t>
      </w:r>
    </w:p>
    <w:p w14:paraId="22EBCDD5">
      <w:pPr>
        <w:spacing w:line="560" w:lineRule="exact"/>
        <w:ind w:firstLine="600"/>
      </w:pPr>
      <w:r>
        <w:rPr>
          <w:rFonts w:ascii="黑体" w:hAnsi="黑体" w:eastAsia="黑体" w:cs="黑体"/>
          <w:b/>
          <w:color w:val="000000"/>
          <w:sz w:val="30"/>
        </w:rPr>
        <w:t>二、机构设置情况</w:t>
      </w:r>
    </w:p>
    <w:p w14:paraId="4B443587">
      <w:pPr>
        <w:spacing w:line="560" w:lineRule="exact"/>
        <w:ind w:firstLine="600"/>
      </w:pPr>
      <w:r>
        <w:rPr>
          <w:rFonts w:ascii="仿宋" w:hAnsi="仿宋" w:eastAsia="仿宋" w:cs="仿宋"/>
          <w:color w:val="000000"/>
          <w:sz w:val="30"/>
        </w:rPr>
        <w:t>天津市西青区发展和改革委员会部门内设8个职能科室；下辖3个预算单位。</w:t>
      </w:r>
    </w:p>
    <w:p w14:paraId="12C64B05">
      <w:pPr>
        <w:spacing w:line="560" w:lineRule="exact"/>
        <w:ind w:firstLine="600"/>
      </w:pPr>
      <w:r>
        <w:rPr>
          <w:rFonts w:ascii="仿宋" w:hAnsi="仿宋" w:eastAsia="仿宋" w:cs="仿宋"/>
          <w:color w:val="000000"/>
          <w:sz w:val="30"/>
        </w:rPr>
        <w:t>纳入天津市西青区发展和改革委员会部门2025年部门预算编制范围的预算单位包括：</w:t>
      </w:r>
    </w:p>
    <w:p w14:paraId="5C38C386">
      <w:pPr>
        <w:spacing w:line="560" w:lineRule="exact"/>
        <w:ind w:firstLine="600"/>
      </w:pPr>
      <w:r>
        <w:rPr>
          <w:rFonts w:ascii="仿宋" w:hAnsi="仿宋" w:eastAsia="仿宋" w:cs="仿宋"/>
          <w:color w:val="000000"/>
          <w:sz w:val="30"/>
        </w:rPr>
        <w:t>1.天津市西青区发展和改革委员会</w:t>
      </w:r>
    </w:p>
    <w:p w14:paraId="08B1DB2D">
      <w:pPr>
        <w:spacing w:line="560" w:lineRule="exact"/>
        <w:ind w:firstLine="600"/>
      </w:pPr>
      <w:r>
        <w:rPr>
          <w:rFonts w:ascii="仿宋" w:hAnsi="仿宋" w:eastAsia="仿宋" w:cs="仿宋"/>
          <w:color w:val="000000"/>
          <w:sz w:val="30"/>
        </w:rPr>
        <w:t>2.天津市西青区公共信用中心（天津市西青区价格认证中心）</w:t>
      </w:r>
    </w:p>
    <w:p w14:paraId="2A320B9D">
      <w:pPr>
        <w:spacing w:line="560" w:lineRule="exact"/>
        <w:ind w:firstLine="600"/>
      </w:pPr>
      <w:r>
        <w:rPr>
          <w:rFonts w:ascii="仿宋" w:hAnsi="仿宋" w:eastAsia="仿宋" w:cs="仿宋"/>
          <w:color w:val="000000"/>
          <w:sz w:val="30"/>
        </w:rPr>
        <w:t>3.天津市西青区数据发展中心</w:t>
      </w:r>
    </w:p>
    <w:p w14:paraId="5CF45DB3">
      <w:pPr>
        <w:pageBreakBefore/>
        <w:spacing w:line="560" w:lineRule="exact"/>
        <w:jc w:val="center"/>
      </w:pPr>
      <w:r>
        <w:rPr>
          <w:rFonts w:ascii="方正小标宋简体" w:hAnsi="方正小标宋简体" w:eastAsia="方正小标宋简体" w:cs="方正小标宋简体"/>
          <w:b/>
          <w:color w:val="000000"/>
          <w:sz w:val="48"/>
        </w:rPr>
        <w:t>第二部分  2025年度部门预算情况说明</w:t>
      </w:r>
    </w:p>
    <w:p w14:paraId="25BB89CD">
      <w:pPr>
        <w:spacing w:line="560" w:lineRule="exact"/>
        <w:ind w:firstLine="600"/>
      </w:pPr>
      <w:r>
        <w:rPr>
          <w:rFonts w:ascii="黑体" w:hAnsi="黑体" w:eastAsia="黑体" w:cs="黑体"/>
          <w:b/>
          <w:color w:val="000000"/>
          <w:sz w:val="30"/>
        </w:rPr>
        <w:t>一、关于收支总体情况表的说明</w:t>
      </w:r>
    </w:p>
    <w:p w14:paraId="26A234EC">
      <w:pPr>
        <w:spacing w:line="560" w:lineRule="exact"/>
        <w:ind w:firstLine="600"/>
      </w:pPr>
      <w:r>
        <w:rPr>
          <w:rFonts w:ascii="仿宋" w:hAnsi="仿宋" w:eastAsia="仿宋" w:cs="仿宋"/>
          <w:color w:val="000000"/>
          <w:sz w:val="30"/>
        </w:rPr>
        <w:t>按照综合预算的原则，天津市西青区发展和改革委员会部门所有收入和支出均纳入部门预算管理。收入包括：一般公共预算拨款收入5,512.95万元、政府性基金预算拨款收入0万元、国有资本经营预算拨款收入0万元、财政专户管理资金收入0万元、事业收入0万元、事业单位经营收入0万元、上级补助收入0万元、附属单位上缴收入0万元、其他收入0万元、上年结转结余1,001.67万元；支出包括：农林水支出800.00万元、节能环保支出457.55万元、教育支出0.84万元、科学技术支出28.28万元、社会保障和就业支出170.38万元、城乡社区支出971.00万元、粮油物资储备支出1,199.00万元、一般公共服务支出2,818.66万元、卫生健康支出68.91万元。天津市西青区发展和改革委员会部门2025年收支总预算6,514.62万元。</w:t>
      </w:r>
    </w:p>
    <w:p w14:paraId="37D50519">
      <w:pPr>
        <w:spacing w:line="560" w:lineRule="exact"/>
        <w:ind w:firstLine="600"/>
      </w:pPr>
      <w:r>
        <w:rPr>
          <w:rFonts w:ascii="黑体" w:hAnsi="黑体" w:eastAsia="黑体" w:cs="黑体"/>
          <w:b/>
          <w:color w:val="000000"/>
          <w:sz w:val="30"/>
        </w:rPr>
        <w:t>二、关于收入总体情况表的说明</w:t>
      </w:r>
    </w:p>
    <w:p w14:paraId="02314EE0">
      <w:pPr>
        <w:spacing w:line="560" w:lineRule="exact"/>
        <w:ind w:firstLine="600"/>
      </w:pPr>
      <w:r>
        <w:rPr>
          <w:rFonts w:ascii="仿宋" w:hAnsi="仿宋" w:eastAsia="仿宋" w:cs="仿宋"/>
          <w:color w:val="000000"/>
          <w:sz w:val="30"/>
        </w:rPr>
        <w:t>天津市西青区发展和改革委员会部门2025年部门预算收入6,514.62万元，与上年预算相比减少95.29万元，主要原因是从严从紧安排预算，项目预算收入较上年减少。其中：上年结转结余1,001.67万元，占15.38%；一般公共预算5,512.95万元，占84.62%；政府性基金预算0万元，占0%；国有资本经营预算0万元，占0%；财政专户管理资金0万元，占0%；事业收入0万元，占0%；事业单位经营收入0万元，占0%；上级补助收入0万元，占0%；附属单位上缴收入0万元，占0%；其他收入0万元，占0%。</w:t>
      </w:r>
    </w:p>
    <w:p w14:paraId="38ABA318">
      <w:pPr>
        <w:spacing w:line="560" w:lineRule="exact"/>
        <w:ind w:firstLine="600"/>
      </w:pPr>
      <w:r>
        <w:rPr>
          <w:rFonts w:ascii="黑体" w:hAnsi="黑体" w:eastAsia="黑体" w:cs="黑体"/>
          <w:b/>
          <w:color w:val="000000"/>
          <w:sz w:val="30"/>
        </w:rPr>
        <w:t>三、关于支出总体情况表的说明</w:t>
      </w:r>
    </w:p>
    <w:p w14:paraId="2B9CA0A5">
      <w:pPr>
        <w:spacing w:line="560" w:lineRule="exact"/>
        <w:ind w:firstLine="600"/>
      </w:pPr>
      <w:r>
        <w:rPr>
          <w:rFonts w:ascii="仿宋" w:hAnsi="仿宋" w:eastAsia="仿宋" w:cs="仿宋"/>
          <w:color w:val="000000"/>
          <w:sz w:val="30"/>
        </w:rPr>
        <w:t>天津市西青区发展和改革委员会部门2025年支出预算6,514.62万元，与上年预算相比减少95.29万元，主要原因是从严从紧安排预算，项目预算支出较上年减少。其中：基本支出2,150.00万元，占33.00%；项目支出4,364.62万元，占67.00%；事业单位经营支出0万元，占0%；上缴上级支出0万元，占0%；对附属单位补助支出0万元，占0%。</w:t>
      </w:r>
    </w:p>
    <w:p w14:paraId="32CBAB04">
      <w:pPr>
        <w:spacing w:line="560" w:lineRule="exact"/>
        <w:ind w:firstLine="600"/>
      </w:pPr>
      <w:r>
        <w:rPr>
          <w:rFonts w:ascii="黑体" w:hAnsi="黑体" w:eastAsia="黑体" w:cs="黑体"/>
          <w:b/>
          <w:color w:val="000000"/>
          <w:sz w:val="30"/>
        </w:rPr>
        <w:t>四、关于财政拨款收支总体情况表的说明</w:t>
      </w:r>
    </w:p>
    <w:p w14:paraId="4A6C8075">
      <w:pPr>
        <w:spacing w:line="560" w:lineRule="exact"/>
        <w:ind w:firstLine="600"/>
      </w:pPr>
      <w:r>
        <w:rPr>
          <w:rFonts w:ascii="仿宋" w:hAnsi="仿宋" w:eastAsia="仿宋" w:cs="仿宋"/>
          <w:color w:val="000000"/>
          <w:sz w:val="30"/>
        </w:rPr>
        <w:t>天津市西青区发展和改革委员会部门2025年财政拨款收入预算6,514.62万元，与上年预算相比减少95.29万元，主要原因是从严从紧安排预算，项目预算收入较上年减少。收入包括：一般公共预算拨款收入5,512.95万元、政府性基金预算拨款收入0万元、上年财政结转结余1,001.67万元、国有资本经营预算拨款收入0万元、2025年财政拨款支出预算6,514.62万元，与上年预算相比减少95.29万元，主要原因是从严从紧安排预算，项目预算支出较上年减少。支出包括：一般公共服务支出2,818.66万元 ；教育支出0.84万元 ；科学技术支出28.28万元 ；社会保障和就业支出170.38万元 ；卫生健康支出68.91万元 ；节能环保支出457.55万元 ；城乡社区支出971.00万元 ；农林水支出800.00万元 ；粮油物资储备支出1,199.00万元。</w:t>
      </w:r>
    </w:p>
    <w:p w14:paraId="3F88F7B3">
      <w:pPr>
        <w:spacing w:line="560" w:lineRule="exact"/>
        <w:ind w:firstLine="600"/>
      </w:pPr>
      <w:r>
        <w:rPr>
          <w:rFonts w:ascii="黑体" w:hAnsi="黑体" w:eastAsia="黑体" w:cs="黑体"/>
          <w:b/>
          <w:color w:val="000000"/>
          <w:sz w:val="30"/>
        </w:rPr>
        <w:t>五、关于一般公共预算支出情况表的说明</w:t>
      </w:r>
    </w:p>
    <w:p w14:paraId="049356C9">
      <w:pPr>
        <w:spacing w:line="560" w:lineRule="exact"/>
        <w:ind w:firstLine="600"/>
      </w:pPr>
      <w:r>
        <w:rPr>
          <w:rFonts w:ascii="楷体" w:hAnsi="楷体" w:eastAsia="楷体" w:cs="楷体"/>
          <w:b/>
          <w:color w:val="000000"/>
          <w:sz w:val="30"/>
        </w:rPr>
        <w:t>（一）总体情况</w:t>
      </w:r>
    </w:p>
    <w:p w14:paraId="23751ECF">
      <w:pPr>
        <w:spacing w:line="560" w:lineRule="exact"/>
        <w:ind w:firstLine="600"/>
      </w:pPr>
      <w:r>
        <w:rPr>
          <w:rFonts w:ascii="仿宋" w:hAnsi="仿宋" w:eastAsia="仿宋" w:cs="仿宋"/>
          <w:color w:val="000000"/>
          <w:sz w:val="30"/>
        </w:rPr>
        <w:t>天津市西青区发展和改革委员会部门2025年一般公共预算支出6,514.62万元(上年6,609.91万元），与上年预算相比减少95.29万元，主要原因是从严从紧安排预算，项目预算支出较上年减少。</w:t>
      </w:r>
    </w:p>
    <w:p w14:paraId="5F2BB11B">
      <w:pPr>
        <w:spacing w:line="560" w:lineRule="exact"/>
        <w:ind w:firstLine="600"/>
      </w:pPr>
      <w:r>
        <w:rPr>
          <w:rFonts w:ascii="楷体" w:hAnsi="楷体" w:eastAsia="楷体" w:cs="楷体"/>
          <w:b/>
          <w:color w:val="000000"/>
          <w:sz w:val="30"/>
        </w:rPr>
        <w:t>（二）具体情况</w:t>
      </w:r>
    </w:p>
    <w:p w14:paraId="2A3644B5">
      <w:pPr>
        <w:spacing w:line="560" w:lineRule="exact"/>
        <w:ind w:firstLine="600"/>
      </w:pPr>
      <w:r>
        <w:rPr>
          <w:rFonts w:ascii="仿宋" w:hAnsi="仿宋" w:eastAsia="仿宋" w:cs="仿宋"/>
          <w:color w:val="000000"/>
          <w:sz w:val="30"/>
        </w:rPr>
        <w:t>1、“一般公共服务支出（类）”2,818.66万元，与上年预算相比增加1,703.20万元，主要原因是机构改革后调入的数据发展中心涉及的相关预算列支该科目。其中：“发展与改革事务（款）”1,129.96万元，包括：“行政运行（发展与改革事务）（项）”703.83万元，主要用于机关的基本支出；“一般行政管理事务（发展与改革事务）（项）”225.79万元，主要用于机关未单独设置项级科目的其他项目支出；“事业运行（发展与改革事务）（项）”200.34万元，主要用于公共信用中心的基本支出。</w:t>
      </w:r>
    </w:p>
    <w:p w14:paraId="7EF69CCE">
      <w:pPr>
        <w:spacing w:line="560" w:lineRule="exact"/>
        <w:ind w:firstLine="600"/>
      </w:pPr>
      <w:r>
        <w:rPr>
          <w:rFonts w:ascii="仿宋" w:hAnsi="仿宋" w:eastAsia="仿宋" w:cs="仿宋"/>
          <w:color w:val="000000"/>
          <w:sz w:val="30"/>
        </w:rPr>
        <w:t>“数据事务（款）”1,688.70万元，包括：“一般行政管理事务（项）”20.00万元，主要用于2025年西青区政务信息化项目管理咨询服务项目；“事业运行（项）”1,668.70万元，主要用于数据发展中心的相关支出。</w:t>
      </w:r>
    </w:p>
    <w:p w14:paraId="55EA8EDC">
      <w:pPr>
        <w:spacing w:line="560" w:lineRule="exact"/>
        <w:ind w:firstLine="600"/>
      </w:pPr>
      <w:r>
        <w:rPr>
          <w:rFonts w:ascii="仿宋" w:hAnsi="仿宋" w:eastAsia="仿宋" w:cs="仿宋"/>
          <w:color w:val="000000"/>
          <w:sz w:val="30"/>
        </w:rPr>
        <w:t>2、“教育支出（类）”0.84万元，与上年预算相比增加0.21万元，主要原因是预算人数增加。其中：“进修及培训（款）”0.84万元，包括：“培训支出（项）”0.84万元，主要用于人员培训方面的支出。</w:t>
      </w:r>
    </w:p>
    <w:p w14:paraId="227769DC">
      <w:pPr>
        <w:spacing w:line="560" w:lineRule="exact"/>
        <w:ind w:firstLine="600"/>
      </w:pPr>
      <w:r>
        <w:rPr>
          <w:rFonts w:ascii="仿宋" w:hAnsi="仿宋" w:eastAsia="仿宋" w:cs="仿宋"/>
          <w:color w:val="000000"/>
          <w:sz w:val="30"/>
        </w:rPr>
        <w:t>3、“科学技术支出（类）”28.28万元，与上年预算相比减少13.44万元，主要原因是列支“科学技术支出”的项目支出预算较上年减少。其中：“技术研究与开发（款）”28.28万元，包括：“其他技术研究与开发支出（项）”28.28万元，主要用于2024年第一批制造业高质量发展专项资金（市级资金）项目。</w:t>
      </w:r>
    </w:p>
    <w:p w14:paraId="5A24F1E4">
      <w:pPr>
        <w:spacing w:line="560" w:lineRule="exact"/>
        <w:ind w:firstLine="600"/>
      </w:pPr>
      <w:r>
        <w:rPr>
          <w:rFonts w:ascii="仿宋" w:hAnsi="仿宋" w:eastAsia="仿宋" w:cs="仿宋"/>
          <w:color w:val="000000"/>
          <w:sz w:val="30"/>
        </w:rPr>
        <w:t>4、“社会保障和就业支出（类）”170.38万元，与上年预算相比增加29.24万元，主要原因是整体社保基数较去年增加。其中：“行政事业单位养老支出（款）”170.38万元，包括：“行政单位离退休（项）”26.56万元，主要用于单位开支的离退休人员经费支出；“机关事业单位基本养老保险缴费支出（项）”95.88万元，主要用于单位人员的基本养老保险费支出；“机关事业单位职业年金缴费支出（项）”47.94万元，主要用于单位人员的职业年金缴费支出。</w:t>
      </w:r>
    </w:p>
    <w:p w14:paraId="566090EB">
      <w:pPr>
        <w:spacing w:line="560" w:lineRule="exact"/>
        <w:ind w:firstLine="600"/>
      </w:pPr>
      <w:r>
        <w:rPr>
          <w:rFonts w:ascii="仿宋" w:hAnsi="仿宋" w:eastAsia="仿宋" w:cs="仿宋"/>
          <w:color w:val="000000"/>
          <w:sz w:val="30"/>
        </w:rPr>
        <w:t>5、“卫生健康支出（类）”68.91万元，与上年预算相比增加10.60万元，主要原因是整体社保基数较去年增加。其中：“行政事业单位医疗（款）”68.91万元，包括：“行政单位医疗（项）”33.90万元，主要用于行政人员的基本医疗保险缴费支出；“事业单位医疗（项）”26.02万元，主要用于事业人员的基本医疗保险缴费支出；“公务员医疗补助（项）”6.78万元，主要用于单位人员的医疗补助缴费支出；“其他行政事业单位医疗支出（项）”2.21万元，主要用于补充医疗缴费支出。</w:t>
      </w:r>
    </w:p>
    <w:p w14:paraId="51A46016">
      <w:pPr>
        <w:spacing w:line="560" w:lineRule="exact"/>
        <w:ind w:firstLine="600"/>
      </w:pPr>
      <w:r>
        <w:rPr>
          <w:rFonts w:ascii="仿宋" w:hAnsi="仿宋" w:eastAsia="仿宋" w:cs="仿宋"/>
          <w:color w:val="000000"/>
          <w:sz w:val="30"/>
        </w:rPr>
        <w:t>6、“节能环保支出（类）”457.55万元，与上年预算相比增加457.55万元，主要原因是采暖期居民冬季清洁取暖运行补贴相关预算项目功能科目调整,根据市级文件要求统一列支此功能科目。其中：“污染防治（款）”457.55万元，包括：“其他污染防治支出（项）”457.55万元，主要用于2024－2025采暖期居民冬季清洁取暖区级运行补贴资金（农垦宏达集团）项目和2024-2025采暖期清洁取暖市级运行补贴项目。。</w:t>
      </w:r>
    </w:p>
    <w:p w14:paraId="2A07083B">
      <w:pPr>
        <w:spacing w:line="560" w:lineRule="exact"/>
        <w:ind w:firstLine="600"/>
      </w:pPr>
      <w:r>
        <w:rPr>
          <w:rFonts w:ascii="仿宋" w:hAnsi="仿宋" w:eastAsia="仿宋" w:cs="仿宋"/>
          <w:color w:val="000000"/>
          <w:sz w:val="30"/>
        </w:rPr>
        <w:t>7、“城乡社区支出（类）”971.00万元，与上年预算相比增加971.00万元，主要原因是采暖期居民冬季清洁取暖运行补贴相关预算项目功能科目调整,根据市级文件要求调出该科目，统一列支“节能环保支出”功能科目，同时2024年生物质发电地方配套资金（市级资金）项目列支该科目。其中：“城乡社区公共设施（款）”971.00万元，包括：“其他城乡社区公共设施支出（项）”971.00万元，主要用于2024年生物质发电地方配套资金（市级资金）项目。</w:t>
      </w:r>
    </w:p>
    <w:p w14:paraId="6AD389E9">
      <w:pPr>
        <w:spacing w:line="560" w:lineRule="exact"/>
        <w:ind w:firstLine="600"/>
      </w:pPr>
      <w:r>
        <w:rPr>
          <w:rFonts w:ascii="仿宋" w:hAnsi="仿宋" w:eastAsia="仿宋" w:cs="仿宋"/>
          <w:color w:val="000000"/>
          <w:sz w:val="30"/>
        </w:rPr>
        <w:t>8、“农林水支出（类）”800.00万元，与上年预算相比增加800.00万元，主要原因是机构改革，东西部协作和支援合作工作调入我委，项目预算列支该科目。其中：“巩固脱贫攻坚成果衔接乡村振兴支出（款）”800.00万元，包括：“生产发展（项）”800.00万元，主要用于东西部协作和支援合作工作经费项目。</w:t>
      </w:r>
    </w:p>
    <w:p w14:paraId="505E9E9D">
      <w:pPr>
        <w:spacing w:line="560" w:lineRule="exact"/>
        <w:ind w:firstLine="600"/>
      </w:pPr>
      <w:r>
        <w:rPr>
          <w:rFonts w:ascii="仿宋" w:hAnsi="仿宋" w:eastAsia="仿宋" w:cs="仿宋"/>
          <w:color w:val="000000"/>
          <w:sz w:val="30"/>
        </w:rPr>
        <w:t>9、“粮油物资储备支出（类）”1,199.00万元，与上年预算相比增加190.00万元，主要原因是较上年增加了西青国家粮食储备库改扩建工程尾款项目预算。其中：“粮油物资事务（款）”903.00万元，包括：“粮食风险基金（项）”903.00万元，主要用于粮食风险基金项目（区级）支出。</w:t>
      </w:r>
    </w:p>
    <w:p w14:paraId="58F7C753">
      <w:pPr>
        <w:spacing w:line="560" w:lineRule="exact"/>
        <w:ind w:firstLine="600"/>
      </w:pPr>
      <w:r>
        <w:rPr>
          <w:rFonts w:ascii="仿宋" w:hAnsi="仿宋" w:eastAsia="仿宋" w:cs="仿宋"/>
          <w:color w:val="000000"/>
          <w:sz w:val="30"/>
        </w:rPr>
        <w:t>“粮油储备（款）”296.00万元，包括：“储备粮油补贴（项）”106.00万元，主要用于2025年对西青区粮食风险基金补助资金项目；“储备粮（油）库建设（项）”190.00万元，主要用于西青国家粮食储备库改扩建工程尾款项目。</w:t>
      </w:r>
    </w:p>
    <w:p w14:paraId="34A69046">
      <w:pPr>
        <w:spacing w:line="560" w:lineRule="exact"/>
        <w:ind w:firstLine="600"/>
      </w:pPr>
      <w:r>
        <w:rPr>
          <w:rFonts w:ascii="黑体" w:hAnsi="黑体" w:eastAsia="黑体" w:cs="黑体"/>
          <w:b/>
          <w:color w:val="000000"/>
          <w:sz w:val="30"/>
        </w:rPr>
        <w:t>六、关于一般公共预算基本支出情况表的说明</w:t>
      </w:r>
    </w:p>
    <w:p w14:paraId="74F98E17">
      <w:pPr>
        <w:spacing w:line="560" w:lineRule="exact"/>
        <w:ind w:firstLine="600"/>
      </w:pPr>
      <w:r>
        <w:rPr>
          <w:rFonts w:ascii="仿宋" w:hAnsi="仿宋" w:eastAsia="仿宋" w:cs="仿宋"/>
          <w:color w:val="000000"/>
          <w:sz w:val="30"/>
        </w:rPr>
        <w:t>天津市西青区发展和改革委员会部门2025年一般公共预算基本支出 2,150.00万元，与上年预算相比增加936.71万元，主要原因是预算人数增加、社保公积金基数调整以及较往年相比新增场地租赁服务费预算。其中：人员经费 1,263.50万元，主要包括：基本工资、津贴补贴、奖金、绩效工资、机关事业单位基本养老保险缴费、职业年金缴费、职工基本医疗保险缴费、公务员医疗补助缴费、其他社会保障缴费、住房公积金、医疗费、其他工资福利支出、退休费、生活补助、奖励金、其他对个人和家庭的补助等；</w:t>
      </w:r>
    </w:p>
    <w:p w14:paraId="24CCFF32">
      <w:pPr>
        <w:spacing w:line="560" w:lineRule="exact"/>
        <w:ind w:firstLine="600"/>
      </w:pPr>
      <w:r>
        <w:rPr>
          <w:rFonts w:ascii="仿宋" w:hAnsi="仿宋" w:eastAsia="仿宋" w:cs="仿宋"/>
          <w:color w:val="000000"/>
          <w:sz w:val="30"/>
        </w:rPr>
        <w:t>公用经费886.50万元，主要包括：办公费、水费、电费、邮电费、取暖费、物业管理费、差旅费、维修（护）费、租赁费、培训费、公务接待费、委托业务费、工会经费、福利费、其他交通费用、其他商品和服务支出、办公设备购置等。</w:t>
      </w:r>
    </w:p>
    <w:p w14:paraId="6766D7EF">
      <w:pPr>
        <w:spacing w:line="560" w:lineRule="exact"/>
        <w:ind w:firstLine="600"/>
      </w:pPr>
      <w:r>
        <w:rPr>
          <w:rFonts w:ascii="黑体" w:hAnsi="黑体" w:eastAsia="黑体" w:cs="黑体"/>
          <w:b/>
          <w:color w:val="000000"/>
          <w:sz w:val="30"/>
        </w:rPr>
        <w:t>七、关于一般公共预算“三公”经费支出情况表的说明</w:t>
      </w:r>
      <w:r>
        <w:rPr>
          <w:rFonts w:ascii="仿宋" w:hAnsi="仿宋" w:eastAsia="仿宋" w:cs="仿宋"/>
          <w:color w:val="000000"/>
          <w:sz w:val="30"/>
        </w:rPr>
        <w:t>2025年一般公共预算“三公”经费安排0.10万元，与2024年预算相比增加0.00万元，主要原因是从严从紧安排预算，坚持党政机关习惯过紧日子。</w:t>
      </w:r>
    </w:p>
    <w:p w14:paraId="6F76E38F">
      <w:pPr>
        <w:spacing w:line="560" w:lineRule="exact"/>
        <w:ind w:firstLine="600"/>
      </w:pPr>
      <w:r>
        <w:rPr>
          <w:rFonts w:ascii="仿宋" w:hAnsi="仿宋" w:eastAsia="仿宋" w:cs="仿宋"/>
          <w:color w:val="000000"/>
          <w:sz w:val="30"/>
        </w:rPr>
        <w:t>具体情况：</w:t>
      </w:r>
    </w:p>
    <w:p w14:paraId="3F04C8D4">
      <w:pPr>
        <w:spacing w:line="560" w:lineRule="exact"/>
        <w:ind w:firstLine="600"/>
      </w:pPr>
      <w:r>
        <w:rPr>
          <w:rFonts w:ascii="仿宋" w:hAnsi="仿宋" w:eastAsia="仿宋" w:cs="仿宋"/>
          <w:color w:val="000000"/>
          <w:sz w:val="30"/>
        </w:rPr>
        <w:t>一、2025年因公出国（境）费预算0万元，与2024年预算相比增加0.00万元，主要原因是坚持党政机关习惯过紧日子，本单位一般公共预算未安排因公出国（境）费预算。</w:t>
      </w:r>
    </w:p>
    <w:p w14:paraId="35994BCD">
      <w:pPr>
        <w:spacing w:line="560" w:lineRule="exact"/>
        <w:ind w:firstLine="600"/>
      </w:pPr>
      <w:r>
        <w:rPr>
          <w:rFonts w:ascii="仿宋" w:hAnsi="仿宋" w:eastAsia="仿宋" w:cs="仿宋"/>
          <w:color w:val="000000"/>
          <w:sz w:val="30"/>
        </w:rPr>
        <w:t>二、2025年公务用车购置及运行费预算0万元，</w:t>
      </w:r>
    </w:p>
    <w:p w14:paraId="54FDC8B2">
      <w:pPr>
        <w:spacing w:line="560" w:lineRule="exact"/>
        <w:ind w:firstLine="600"/>
      </w:pPr>
      <w:r>
        <w:rPr>
          <w:rFonts w:ascii="仿宋" w:hAnsi="仿宋" w:eastAsia="仿宋" w:cs="仿宋"/>
          <w:color w:val="000000"/>
          <w:sz w:val="30"/>
        </w:rPr>
        <w:t>其中公务用车运行费0万元，与2024年预算相比增加0万元，主要原因是已改革，无公务用车；公务用车购置费0万元，与2024年预算相比增加0万元，主要原因是已改革，无公务用车。</w:t>
      </w:r>
    </w:p>
    <w:p w14:paraId="27092A9C">
      <w:pPr>
        <w:spacing w:line="560" w:lineRule="exact"/>
        <w:ind w:firstLine="600"/>
      </w:pPr>
      <w:r>
        <w:rPr>
          <w:rFonts w:ascii="仿宋" w:hAnsi="仿宋" w:eastAsia="仿宋" w:cs="仿宋"/>
          <w:color w:val="000000"/>
          <w:sz w:val="30"/>
        </w:rPr>
        <w:t>三、2025年公务接待费预算0.10万元，与2024年预算相比增加0万元，主要原因是从严从紧安排预算，坚持党政机关习惯过紧日子。</w:t>
      </w:r>
    </w:p>
    <w:p w14:paraId="25B46343">
      <w:pPr>
        <w:spacing w:line="560" w:lineRule="exact"/>
        <w:ind w:firstLine="600"/>
      </w:pPr>
      <w:r>
        <w:rPr>
          <w:rFonts w:ascii="黑体" w:hAnsi="黑体" w:eastAsia="黑体" w:cs="黑体"/>
          <w:b/>
          <w:color w:val="000000"/>
          <w:sz w:val="30"/>
        </w:rPr>
        <w:t>八、关于政府性基金预算支出情况表的说明</w:t>
      </w:r>
    </w:p>
    <w:p w14:paraId="1450CAD9">
      <w:pPr>
        <w:spacing w:line="560" w:lineRule="exact"/>
        <w:ind w:firstLine="600"/>
      </w:pPr>
      <w:r>
        <w:rPr>
          <w:rFonts w:ascii="仿宋" w:hAnsi="仿宋" w:eastAsia="仿宋" w:cs="仿宋"/>
          <w:color w:val="000000"/>
          <w:sz w:val="30"/>
        </w:rPr>
        <w:t>2025年天津市西青区发展和改革委员会部门预算中没有使用政府性基金预算安排的支出。</w:t>
      </w:r>
    </w:p>
    <w:p w14:paraId="7A82A193">
      <w:pPr>
        <w:spacing w:line="560" w:lineRule="exact"/>
        <w:ind w:firstLine="600"/>
      </w:pPr>
      <w:r>
        <w:rPr>
          <w:rFonts w:ascii="黑体" w:hAnsi="黑体" w:eastAsia="黑体" w:cs="黑体"/>
          <w:b/>
          <w:color w:val="000000"/>
          <w:sz w:val="30"/>
        </w:rPr>
        <w:t>九、关于国有资本经营预算支出情况表的说明</w:t>
      </w:r>
    </w:p>
    <w:p w14:paraId="007D6DD5">
      <w:pPr>
        <w:spacing w:line="560" w:lineRule="exact"/>
        <w:ind w:firstLine="600"/>
      </w:pPr>
      <w:r>
        <w:rPr>
          <w:rFonts w:ascii="仿宋" w:hAnsi="仿宋" w:eastAsia="仿宋" w:cs="仿宋"/>
          <w:color w:val="000000"/>
          <w:sz w:val="30"/>
        </w:rPr>
        <w:t>2025年天津市西青区发展和改革委员会部门预算中没有使用国有资本经营预算安排的支出。</w:t>
      </w:r>
    </w:p>
    <w:p w14:paraId="66EB275E">
      <w:pPr>
        <w:spacing w:line="560" w:lineRule="exact"/>
        <w:ind w:firstLine="600"/>
      </w:pPr>
      <w:r>
        <w:rPr>
          <w:rFonts w:ascii="黑体" w:hAnsi="黑体" w:eastAsia="黑体" w:cs="黑体"/>
          <w:b/>
          <w:color w:val="000000"/>
          <w:sz w:val="30"/>
        </w:rPr>
        <w:t>十、其他重要事项的情况说明</w:t>
      </w:r>
    </w:p>
    <w:p w14:paraId="66523AAE">
      <w:pPr>
        <w:spacing w:line="560" w:lineRule="exact"/>
        <w:ind w:firstLine="600"/>
      </w:pPr>
      <w:r>
        <w:rPr>
          <w:rFonts w:ascii="楷体" w:hAnsi="楷体" w:eastAsia="楷体" w:cs="楷体"/>
          <w:b/>
          <w:color w:val="000000"/>
          <w:sz w:val="30"/>
        </w:rPr>
        <w:t>（一）机关运行经费。</w:t>
      </w:r>
    </w:p>
    <w:p w14:paraId="7BA22256">
      <w:pPr>
        <w:spacing w:line="560" w:lineRule="exact"/>
        <w:ind w:firstLine="600"/>
      </w:pPr>
      <w:r>
        <w:rPr>
          <w:rFonts w:ascii="仿宋" w:hAnsi="仿宋" w:eastAsia="仿宋" w:cs="仿宋"/>
          <w:color w:val="000000"/>
          <w:sz w:val="30"/>
        </w:rPr>
        <w:t>本部门2025年天津市西青区发展和改革委员会1家行政单位以及0家参公管理事业单位的机关运行经费预算148.98万元，包括办公费11.48万元、水费1.80万元、电费17.52万元、邮电费1.80万元、取暖费9.88万元、物业管理费35.75万元、差旅费1.68万元、维修(护)费1.80万元、培训费0.30万元、公务接待费0.10万元、委托业务费2.40万元、工会经费8.48万元、福利费8.40万元、其他交通费用23.86万元、其他商品和服务支出20.90万元、办公设备购置2.85万元 。</w:t>
      </w:r>
    </w:p>
    <w:p w14:paraId="160C4A7C">
      <w:pPr>
        <w:spacing w:line="560" w:lineRule="exact"/>
        <w:ind w:firstLine="600"/>
      </w:pPr>
      <w:r>
        <w:rPr>
          <w:rFonts w:ascii="楷体" w:hAnsi="楷体" w:eastAsia="楷体" w:cs="楷体"/>
          <w:b/>
          <w:color w:val="000000"/>
          <w:sz w:val="30"/>
        </w:rPr>
        <w:t>（二）政府采购情况</w:t>
      </w:r>
      <w:r>
        <w:rPr>
          <w:rFonts w:ascii="仿宋" w:hAnsi="仿宋" w:eastAsia="仿宋" w:cs="仿宋"/>
          <w:color w:val="000000"/>
          <w:sz w:val="30"/>
        </w:rPr>
        <w:t>本部门2025年安排政府采购预算1319.58万元，其中：政府采购货物支出5.69万元、政府采购工程支出0万元、政府采购服务支出1313.89万元。主要项目是：办公费项目1.68万元；办公设备购置项目4.01万元；物业费项目94.89万元；场地租赁服务675万元；2025年西青区三级等保测评服务168万元；电子政务运维服务76万元；往年电子政务运维服务300万元。</w:t>
      </w:r>
    </w:p>
    <w:p w14:paraId="709239A8">
      <w:pPr>
        <w:spacing w:line="560" w:lineRule="exact"/>
        <w:ind w:firstLine="600"/>
      </w:pPr>
      <w:r>
        <w:rPr>
          <w:rFonts w:ascii="楷体" w:hAnsi="楷体" w:eastAsia="楷体" w:cs="楷体"/>
          <w:b/>
          <w:color w:val="000000"/>
          <w:sz w:val="30"/>
        </w:rPr>
        <w:t>（三）国有资产占用情况</w:t>
      </w:r>
    </w:p>
    <w:p w14:paraId="34BACE3B">
      <w:pPr>
        <w:spacing w:line="560" w:lineRule="exact"/>
        <w:ind w:firstLine="600"/>
      </w:pPr>
      <w:r>
        <w:rPr>
          <w:rFonts w:ascii="仿宋" w:hAnsi="仿宋" w:eastAsia="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7D866BFF">
      <w:pPr>
        <w:spacing w:line="560" w:lineRule="exact"/>
        <w:ind w:firstLine="600"/>
      </w:pPr>
      <w:r>
        <w:rPr>
          <w:rFonts w:ascii="楷体" w:hAnsi="楷体" w:eastAsia="楷体" w:cs="楷体"/>
          <w:b/>
          <w:color w:val="000000"/>
          <w:sz w:val="30"/>
        </w:rPr>
        <w:t>（四）预算绩效情况说明。</w:t>
      </w:r>
    </w:p>
    <w:p w14:paraId="28EA092E">
      <w:pPr>
        <w:spacing w:line="560" w:lineRule="exact"/>
        <w:ind w:firstLine="600"/>
      </w:pPr>
      <w:r>
        <w:rPr>
          <w:rFonts w:ascii="仿宋" w:hAnsi="仿宋" w:eastAsia="仿宋" w:cs="仿宋"/>
          <w:color w:val="000000"/>
          <w:sz w:val="30"/>
        </w:rPr>
        <w:t>天津市西青区发展和改革委员会部门2025年实行绩效目标管理的项目2</w:t>
      </w:r>
      <w:r>
        <w:rPr>
          <w:rFonts w:hint="eastAsia" w:ascii="仿宋" w:hAnsi="仿宋" w:eastAsia="仿宋" w:cs="仿宋"/>
          <w:color w:val="000000"/>
          <w:sz w:val="30"/>
          <w:lang w:val="en-US" w:eastAsia="zh-CN"/>
        </w:rPr>
        <w:t>4</w:t>
      </w:r>
      <w:r>
        <w:rPr>
          <w:rFonts w:ascii="仿宋" w:hAnsi="仿宋" w:eastAsia="仿宋" w:cs="仿宋"/>
          <w:color w:val="000000"/>
          <w:sz w:val="30"/>
        </w:rPr>
        <w:t>个，涉及预算金额</w:t>
      </w:r>
      <w:r>
        <w:rPr>
          <w:rFonts w:hint="eastAsia" w:ascii="仿宋" w:hAnsi="仿宋" w:eastAsia="仿宋" w:cs="仿宋"/>
          <w:color w:val="000000"/>
          <w:sz w:val="30"/>
          <w:lang w:val="en-US" w:eastAsia="zh-CN"/>
        </w:rPr>
        <w:t>3564</w:t>
      </w:r>
      <w:r>
        <w:rPr>
          <w:rFonts w:ascii="仿宋" w:hAnsi="仿宋" w:eastAsia="仿宋" w:cs="仿宋"/>
          <w:color w:val="000000"/>
          <w:sz w:val="30"/>
        </w:rPr>
        <w:t>.62万</w:t>
      </w:r>
      <w:bookmarkStart w:id="0" w:name="_GoBack"/>
      <w:bookmarkEnd w:id="0"/>
      <w:r>
        <w:rPr>
          <w:rFonts w:ascii="仿宋" w:hAnsi="仿宋" w:eastAsia="仿宋" w:cs="仿宋"/>
          <w:color w:val="000000"/>
          <w:sz w:val="30"/>
        </w:rPr>
        <w:t>元。</w:t>
      </w:r>
    </w:p>
    <w:p w14:paraId="356EE0C9">
      <w:pPr>
        <w:pageBreakBefore/>
        <w:spacing w:line="560" w:lineRule="exact"/>
        <w:jc w:val="center"/>
      </w:pPr>
      <w:r>
        <w:rPr>
          <w:rFonts w:ascii="黑体" w:hAnsi="黑体" w:eastAsia="黑体" w:cs="黑体"/>
          <w:b/>
          <w:color w:val="000000"/>
          <w:sz w:val="48"/>
        </w:rPr>
        <w:t>第三部分  名词解释</w:t>
      </w:r>
    </w:p>
    <w:p w14:paraId="79B245E6">
      <w:pPr>
        <w:spacing w:line="560" w:lineRule="exact"/>
        <w:ind w:firstLine="560"/>
      </w:pPr>
      <w:r>
        <w:rPr>
          <w:rFonts w:ascii="仿宋" w:hAnsi="仿宋" w:eastAsia="仿宋" w:cs="仿宋"/>
          <w:b/>
          <w:color w:val="000000"/>
          <w:sz w:val="28"/>
        </w:rPr>
        <w:t>一、部门预算:</w:t>
      </w:r>
      <w:r>
        <w:rPr>
          <w:rFonts w:ascii="仿宋" w:hAnsi="仿宋" w:eastAsia="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47308250">
      <w:pPr>
        <w:spacing w:line="560" w:lineRule="exact"/>
        <w:ind w:firstLine="560"/>
      </w:pPr>
      <w:r>
        <w:rPr>
          <w:rFonts w:ascii="仿宋" w:hAnsi="仿宋" w:eastAsia="仿宋" w:cs="仿宋"/>
          <w:b/>
          <w:color w:val="000000"/>
          <w:sz w:val="28"/>
        </w:rPr>
        <w:t>二、基本支出：</w:t>
      </w:r>
      <w:r>
        <w:rPr>
          <w:rFonts w:ascii="仿宋" w:hAnsi="仿宋" w:eastAsia="仿宋" w:cs="仿宋"/>
          <w:color w:val="000000"/>
          <w:sz w:val="28"/>
        </w:rPr>
        <w:t>指为保障机构正常运转、完成日常工作任务而发生的人员支出和公用支出。</w:t>
      </w:r>
    </w:p>
    <w:p w14:paraId="2B041759">
      <w:pPr>
        <w:spacing w:line="560" w:lineRule="exact"/>
        <w:ind w:firstLine="560"/>
      </w:pPr>
      <w:r>
        <w:rPr>
          <w:rFonts w:ascii="仿宋" w:hAnsi="仿宋" w:eastAsia="仿宋" w:cs="仿宋"/>
          <w:b/>
          <w:color w:val="000000"/>
          <w:sz w:val="28"/>
        </w:rPr>
        <w:t>三、项目支出:</w:t>
      </w:r>
      <w:r>
        <w:rPr>
          <w:rFonts w:ascii="仿宋" w:hAnsi="仿宋" w:eastAsia="仿宋" w:cs="仿宋"/>
          <w:color w:val="000000"/>
          <w:sz w:val="28"/>
        </w:rPr>
        <w:t>指在基本支出之外为完成特定行政任务和事业发展目标所发生的支出。</w:t>
      </w:r>
    </w:p>
    <w:p w14:paraId="57007477">
      <w:pPr>
        <w:spacing w:line="560" w:lineRule="exact"/>
        <w:ind w:firstLine="560"/>
      </w:pPr>
      <w:r>
        <w:rPr>
          <w:rFonts w:ascii="仿宋" w:hAnsi="仿宋" w:eastAsia="仿宋" w:cs="仿宋"/>
          <w:b/>
          <w:color w:val="000000"/>
          <w:sz w:val="28"/>
        </w:rPr>
        <w:t>四、机关运行经费：</w:t>
      </w:r>
      <w:r>
        <w:rPr>
          <w:rFonts w:ascii="仿宋" w:hAnsi="仿宋" w:eastAsia="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4780EFD8">
      <w:pPr>
        <w:pageBreakBefore/>
        <w:spacing w:line="2000" w:lineRule="exact"/>
        <w:jc w:val="center"/>
      </w:pPr>
      <w:r>
        <w:rPr>
          <w:rFonts w:ascii="方正小标宋简体" w:hAnsi="方正小标宋简体" w:eastAsia="方正小标宋简体" w:cs="方正小标宋简体"/>
          <w:b/>
          <w:color w:val="000000"/>
          <w:sz w:val="48"/>
        </w:rPr>
        <w:t>第四部分   2025年部门预算表</w:t>
      </w:r>
    </w:p>
    <w:p w14:paraId="387DF98D">
      <w:pPr>
        <w:spacing w:line="560" w:lineRule="exact"/>
      </w:pPr>
      <w:r>
        <w:rPr>
          <w:rFonts w:ascii="楷体" w:hAnsi="楷体" w:eastAsia="楷体" w:cs="楷体"/>
          <w:b/>
          <w:color w:val="000000"/>
          <w:sz w:val="30"/>
        </w:rPr>
        <w:t>一、《部门收支总体情况表》</w:t>
      </w:r>
    </w:p>
    <w:p w14:paraId="53DB6605">
      <w:pPr>
        <w:spacing w:line="560" w:lineRule="exact"/>
      </w:pPr>
      <w:r>
        <w:rPr>
          <w:rFonts w:ascii="楷体" w:hAnsi="楷体" w:eastAsia="楷体" w:cs="楷体"/>
          <w:b/>
          <w:color w:val="000000"/>
          <w:sz w:val="30"/>
        </w:rPr>
        <w:t>二、《部门收入总体情况表》</w:t>
      </w:r>
    </w:p>
    <w:p w14:paraId="22E5B8D1">
      <w:pPr>
        <w:spacing w:line="560" w:lineRule="exact"/>
      </w:pPr>
      <w:r>
        <w:rPr>
          <w:rFonts w:ascii="楷体" w:hAnsi="楷体" w:eastAsia="楷体" w:cs="楷体"/>
          <w:b/>
          <w:color w:val="000000"/>
          <w:sz w:val="30"/>
        </w:rPr>
        <w:t>三、《部门支出总体情况表》</w:t>
      </w:r>
    </w:p>
    <w:p w14:paraId="61EFEC16">
      <w:pPr>
        <w:spacing w:line="560" w:lineRule="exact"/>
      </w:pPr>
      <w:r>
        <w:rPr>
          <w:rFonts w:ascii="楷体" w:hAnsi="楷体" w:eastAsia="楷体" w:cs="楷体"/>
          <w:b/>
          <w:color w:val="000000"/>
          <w:sz w:val="30"/>
        </w:rPr>
        <w:t>四、《财政拨款收支总体情况表》</w:t>
      </w:r>
    </w:p>
    <w:p w14:paraId="4C40F0BE">
      <w:pPr>
        <w:spacing w:line="560" w:lineRule="exact"/>
      </w:pPr>
      <w:r>
        <w:rPr>
          <w:rFonts w:ascii="楷体" w:hAnsi="楷体" w:eastAsia="楷体" w:cs="楷体"/>
          <w:b/>
          <w:color w:val="000000"/>
          <w:sz w:val="30"/>
        </w:rPr>
        <w:t>五、《一般公共预算支出情况表》</w:t>
      </w:r>
    </w:p>
    <w:p w14:paraId="72608050">
      <w:pPr>
        <w:spacing w:line="560" w:lineRule="exact"/>
      </w:pPr>
      <w:r>
        <w:rPr>
          <w:rFonts w:ascii="楷体" w:hAnsi="楷体" w:eastAsia="楷体" w:cs="楷体"/>
          <w:b/>
          <w:color w:val="000000"/>
          <w:sz w:val="30"/>
        </w:rPr>
        <w:t>六、《一般公共预算基本支出情况表》</w:t>
      </w:r>
    </w:p>
    <w:p w14:paraId="7B276E5A">
      <w:pPr>
        <w:spacing w:line="560" w:lineRule="exact"/>
      </w:pPr>
      <w:r>
        <w:rPr>
          <w:rFonts w:ascii="楷体" w:hAnsi="楷体" w:eastAsia="楷体" w:cs="楷体"/>
          <w:b/>
          <w:color w:val="000000"/>
          <w:sz w:val="30"/>
        </w:rPr>
        <w:t>七、《一般公共预算“三公”经费支出情况表》</w:t>
      </w:r>
    </w:p>
    <w:p w14:paraId="32C1651D">
      <w:pPr>
        <w:spacing w:line="560" w:lineRule="exact"/>
      </w:pPr>
      <w:r>
        <w:rPr>
          <w:rFonts w:ascii="楷体" w:hAnsi="楷体" w:eastAsia="楷体" w:cs="楷体"/>
          <w:b/>
          <w:color w:val="000000"/>
          <w:sz w:val="30"/>
        </w:rPr>
        <w:t>八、《政府性基金预算支出情况表》</w:t>
      </w:r>
    </w:p>
    <w:p w14:paraId="4050CB19">
      <w:pPr>
        <w:spacing w:line="560" w:lineRule="exact"/>
      </w:pPr>
      <w:r>
        <w:rPr>
          <w:rFonts w:ascii="楷体" w:hAnsi="楷体" w:eastAsia="楷体" w:cs="楷体"/>
          <w:b/>
          <w:color w:val="000000"/>
          <w:sz w:val="30"/>
        </w:rPr>
        <w:t>九、《国有资本经营预算支出情况表》</w:t>
      </w:r>
    </w:p>
    <w:p w14:paraId="768C5572">
      <w:pPr>
        <w:spacing w:line="560" w:lineRule="exact"/>
      </w:pPr>
      <w:r>
        <w:rPr>
          <w:rFonts w:ascii="楷体" w:hAnsi="楷体" w:eastAsia="楷体" w:cs="楷体"/>
          <w:b/>
          <w:color w:val="000000"/>
          <w:sz w:val="30"/>
        </w:rPr>
        <w:t>十、《项目支出表》</w:t>
      </w:r>
    </w:p>
    <w:p w14:paraId="00B6EEAE">
      <w:pPr>
        <w:spacing w:line="560" w:lineRule="exact"/>
      </w:pPr>
      <w:r>
        <w:rPr>
          <w:rFonts w:ascii="楷体" w:hAnsi="楷体" w:eastAsia="楷体" w:cs="楷体"/>
          <w:b/>
          <w:color w:val="000000"/>
          <w:sz w:val="30"/>
        </w:rPr>
        <w:t>十一、关于空表说明</w:t>
      </w:r>
    </w:p>
    <w:p w14:paraId="04EF2ADC">
      <w:pPr>
        <w:pageBreakBefore/>
        <w:spacing w:line="560" w:lineRule="exact"/>
      </w:pPr>
      <w:r>
        <w:rPr>
          <w:rFonts w:ascii="仿宋" w:hAnsi="仿宋" w:eastAsia="仿宋" w:cs="仿宋"/>
          <w:b/>
          <w:color w:val="000000"/>
          <w:sz w:val="30"/>
        </w:rPr>
        <w:t>十一、关于空表的说明</w:t>
      </w:r>
    </w:p>
    <w:p w14:paraId="664BDC63">
      <w:pPr>
        <w:spacing w:line="560" w:lineRule="exact"/>
        <w:ind w:firstLine="600"/>
      </w:pPr>
      <w:r>
        <w:rPr>
          <w:rFonts w:ascii="仿宋" w:hAnsi="仿宋" w:eastAsia="仿宋" w:cs="仿宋"/>
          <w:color w:val="000000"/>
          <w:sz w:val="30"/>
        </w:rPr>
        <w:t>本部门2025年政府性基金预算支出情况表为空表</w:t>
      </w:r>
    </w:p>
    <w:p w14:paraId="0752BC96">
      <w:pPr>
        <w:spacing w:line="560" w:lineRule="exact"/>
        <w:ind w:firstLine="600"/>
      </w:pPr>
      <w:r>
        <w:rPr>
          <w:rFonts w:ascii="仿宋" w:hAnsi="仿宋" w:eastAsia="仿宋" w:cs="仿宋"/>
          <w:color w:val="000000"/>
          <w:sz w:val="30"/>
        </w:rPr>
        <w:t>本部门2025年国有资本经营预算支出情况表为空表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5B0B3B"/>
    <w:rsid w:val="00000C84"/>
    <w:rsid w:val="00015B5F"/>
    <w:rsid w:val="000540AC"/>
    <w:rsid w:val="003C6A45"/>
    <w:rsid w:val="00597FD7"/>
    <w:rsid w:val="005B0B3B"/>
    <w:rsid w:val="007304E0"/>
    <w:rsid w:val="00766B0F"/>
    <w:rsid w:val="00AB0CFD"/>
    <w:rsid w:val="00EF617E"/>
    <w:rsid w:val="5F9E7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sz w:val="18"/>
      <w:szCs w:val="18"/>
    </w:rPr>
  </w:style>
  <w:style w:type="character" w:customStyle="1" w:styleId="7">
    <w:name w:val="页脚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17</Pages>
  <Words>1052</Words>
  <Characters>6001</Characters>
  <Lines>50</Lines>
  <Paragraphs>14</Paragraphs>
  <TotalTime>3</TotalTime>
  <ScaleCrop>false</ScaleCrop>
  <LinksUpToDate>false</LinksUpToDate>
  <CharactersWithSpaces>7039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2025-03-19T05:30:00Z</dcterms:created>
  <dc:creator>Apache POI</dc:creator>
  <cp:lastModifiedBy>Administrator</cp:lastModifiedBy>
  <dcterms:modified xsi:type="dcterms:W3CDTF">2025-03-13T07:49:47Z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6D63885A7EC845B3B9F289184A5D52E0_12</vt:lpwstr>
  </property>
</Properties>
</file>