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天津市西青区法律援助中心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负责受理、审查法律援助申请，指定律师事务所承办法律援助案件等工作。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天津市西青区法律援助中心部门内设</w:t>
      </w:r>
      <w:r>
        <w:rPr>
          <w:rFonts w:ascii="仿宋" w:hAnsi="仿宋" w:cs="仿宋" w:eastAsia="仿宋"/>
          <w:sz w:val="30"/>
          <w:b w:val="off"/>
          <w:color w:val="000000"/>
        </w:rPr>
        <w:t>0</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纳入天津市西青区法律援助中心单位2025年部门预算编制范围的预算单位包括：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1.天津市西青区法律援助中心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按照综合预算的原则，天津市西青区法律援助中心单位所有收入和支出均纳入部门预算管理。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一般公共预算拨款收入78.78万元、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教育支出0.06万元、</w:t>
      </w:r>
      <w:r>
        <w:rPr>
          <w:rFonts w:ascii="仿宋" w:hAnsi="仿宋" w:cs="仿宋" w:eastAsia="仿宋"/>
          <w:sz w:val="30"/>
          <w:b w:val="off"/>
          <w:color w:val="000000"/>
        </w:rPr>
        <w:t>社会保障和就业支出7.08万元、</w:t>
      </w:r>
      <w:r>
        <w:rPr>
          <w:rFonts w:ascii="仿宋" w:hAnsi="仿宋" w:cs="仿宋" w:eastAsia="仿宋"/>
          <w:sz w:val="30"/>
          <w:b w:val="off"/>
          <w:color w:val="000000"/>
        </w:rPr>
        <w:t>公共安全支出68.45万元、</w:t>
      </w:r>
      <w:r>
        <w:rPr>
          <w:rFonts w:ascii="仿宋" w:hAnsi="仿宋" w:cs="仿宋" w:eastAsia="仿宋"/>
          <w:sz w:val="30"/>
          <w:b w:val="off"/>
          <w:color w:val="000000"/>
        </w:rPr>
        <w:t>卫生健康支出3.19万元。</w:t>
      </w:r>
      <w:r>
        <w:rPr>
          <w:rFonts w:ascii="仿宋" w:hAnsi="仿宋" w:cs="仿宋" w:eastAsia="仿宋"/>
          <w:sz w:val="30"/>
          <w:b w:val="off"/>
          <w:color w:val="000000"/>
        </w:rPr>
        <w:t>天津市西青区法律援助中心单位2025年收支总预算</w:t>
      </w:r>
      <w:r>
        <w:rPr>
          <w:rFonts w:ascii="仿宋" w:hAnsi="仿宋" w:cs="仿宋" w:eastAsia="仿宋"/>
          <w:sz w:val="30"/>
          <w:b w:val="off"/>
          <w:color w:val="000000"/>
        </w:rPr>
        <w:t>78.78</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天津市西青区法律援助中心单位2025年部门预算收入78.78万元</w:t>
      </w:r>
      <w:r>
        <w:rPr>
          <w:rFonts w:ascii="仿宋" w:hAnsi="仿宋" w:cs="仿宋" w:eastAsia="仿宋"/>
          <w:sz w:val="30"/>
          <w:b w:val="off"/>
          <w:color w:val="000000"/>
        </w:rPr>
        <w:t>，与上年预算相比增加5.32万元，主要原因是</w:t>
      </w:r>
      <w:r>
        <w:rPr>
          <w:rFonts w:ascii="仿宋" w:hAnsi="仿宋" w:cs="仿宋" w:eastAsia="仿宋"/>
          <w:sz w:val="30"/>
          <w:b w:val="off"/>
          <w:color w:val="000000"/>
        </w:rPr>
        <w:t>法律援助项目经费收入预算增加。</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一般公共预算78.78万元，占100.00%；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天津市西青区法律援助中心单位2025年支出预算78.78万元</w:t>
      </w:r>
      <w:r>
        <w:rPr>
          <w:rFonts w:ascii="仿宋" w:hAnsi="仿宋" w:cs="仿宋" w:eastAsia="仿宋"/>
          <w:sz w:val="30"/>
          <w:b w:val="off"/>
          <w:color w:val="000000"/>
        </w:rPr>
        <w:t>，与上年预算相比增加5.32万元，主要原因是</w:t>
      </w:r>
      <w:r>
        <w:rPr>
          <w:rFonts w:ascii="仿宋" w:hAnsi="仿宋" w:cs="仿宋" w:eastAsia="仿宋"/>
          <w:sz w:val="30"/>
          <w:b w:val="off"/>
          <w:color w:val="000000"/>
        </w:rPr>
        <w:t>法律援助项目经费支出预算增加。</w:t>
      </w:r>
      <w:r>
        <w:rPr>
          <w:rFonts w:ascii="仿宋" w:hAnsi="仿宋" w:cs="仿宋" w:eastAsia="仿宋"/>
          <w:sz w:val="30"/>
          <w:b w:val="off"/>
          <w:color w:val="000000"/>
        </w:rPr>
        <w:t>其中：</w:t>
      </w:r>
      <w:r>
        <w:rPr>
          <w:rFonts w:ascii="仿宋" w:hAnsi="仿宋" w:cs="仿宋" w:eastAsia="仿宋"/>
          <w:sz w:val="30"/>
          <w:b w:val="off"/>
          <w:color w:val="000000"/>
        </w:rPr>
        <w:t>基本支出68.78万元，占87.31%；</w:t>
      </w:r>
      <w:r>
        <w:rPr>
          <w:rFonts w:ascii="仿宋" w:hAnsi="仿宋" w:cs="仿宋" w:eastAsia="仿宋"/>
          <w:sz w:val="30"/>
          <w:b w:val="off"/>
          <w:color w:val="000000"/>
        </w:rPr>
        <w:t>项目支出10.00万元，占12.69%；</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天津市西青区法律援助中心单位2025年财政拨款收入预算78.78万元</w:t>
      </w:r>
      <w:r>
        <w:rPr>
          <w:rFonts w:ascii="仿宋" w:hAnsi="仿宋" w:cs="仿宋" w:eastAsia="仿宋"/>
          <w:sz w:val="30"/>
          <w:b w:val="off"/>
          <w:color w:val="000000"/>
        </w:rPr>
        <w:t>，与上年预算相比增加5.32万元，主要原因是</w:t>
      </w:r>
      <w:r>
        <w:rPr>
          <w:rFonts w:ascii="仿宋" w:hAnsi="仿宋" w:cs="仿宋" w:eastAsia="仿宋"/>
          <w:sz w:val="30"/>
          <w:b w:val="off"/>
          <w:color w:val="000000"/>
        </w:rPr>
        <w:t>法律援助项目经费收入预算增加。</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一般公共预算拨款收入78.78万元、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2025年财政拨款支出预算78.78万元</w:t>
      </w:r>
      <w:r>
        <w:rPr>
          <w:rFonts w:ascii="仿宋" w:hAnsi="仿宋" w:cs="仿宋" w:eastAsia="仿宋"/>
          <w:sz w:val="30"/>
          <w:b w:val="off"/>
          <w:color w:val="000000"/>
        </w:rPr>
        <w:t>，与上年预算相比增加5.32万元，主要原因是</w:t>
      </w:r>
      <w:r>
        <w:rPr>
          <w:rFonts w:ascii="仿宋" w:hAnsi="仿宋" w:cs="仿宋" w:eastAsia="仿宋"/>
          <w:sz w:val="30"/>
          <w:b w:val="off"/>
          <w:color w:val="000000"/>
        </w:rPr>
        <w:t>法律援助项目经费支出预算增加。</w:t>
      </w:r>
      <w:r>
        <w:rPr>
          <w:rFonts w:ascii="仿宋" w:hAnsi="仿宋" w:cs="仿宋" w:eastAsia="仿宋"/>
          <w:sz w:val="30"/>
          <w:b w:val="off"/>
          <w:color w:val="000000"/>
        </w:rPr>
        <w:t>支出包括：</w:t>
      </w:r>
      <w:r>
        <w:rPr>
          <w:rFonts w:ascii="仿宋" w:hAnsi="仿宋" w:cs="仿宋" w:eastAsia="仿宋"/>
          <w:sz w:val="30"/>
          <w:b w:val="off"/>
          <w:color w:val="000000"/>
        </w:rPr>
        <w:t>公共安全支出68.45万元 ；</w:t>
      </w:r>
      <w:r>
        <w:rPr>
          <w:rFonts w:ascii="仿宋" w:hAnsi="仿宋" w:cs="仿宋" w:eastAsia="仿宋"/>
          <w:sz w:val="30"/>
          <w:b w:val="off"/>
          <w:color w:val="000000"/>
        </w:rPr>
        <w:t>教育支出0.06万元 ；</w:t>
      </w:r>
      <w:r>
        <w:rPr>
          <w:rFonts w:ascii="仿宋" w:hAnsi="仿宋" w:cs="仿宋" w:eastAsia="仿宋"/>
          <w:sz w:val="30"/>
          <w:b w:val="off"/>
          <w:color w:val="000000"/>
        </w:rPr>
        <w:t>社会保障和就业支出7.08万元 ；</w:t>
      </w:r>
      <w:r>
        <w:rPr>
          <w:rFonts w:ascii="仿宋" w:hAnsi="仿宋" w:cs="仿宋" w:eastAsia="仿宋"/>
          <w:sz w:val="30"/>
          <w:b w:val="off"/>
          <w:color w:val="000000"/>
        </w:rPr>
        <w:t>卫生健康支出3.19万元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天津市西青区法律援助中心单位2025年一般公共预算支出78.78万元</w:t>
      </w:r>
      <w:r>
        <w:rPr>
          <w:rFonts w:ascii="仿宋" w:hAnsi="仿宋" w:cs="仿宋" w:eastAsia="仿宋"/>
          <w:sz w:val="30"/>
          <w:b w:val="off"/>
          <w:color w:val="000000"/>
        </w:rPr>
        <w:t>(上年</w:t>
      </w:r>
      <w:r>
        <w:rPr>
          <w:rFonts w:ascii="仿宋" w:hAnsi="仿宋" w:cs="仿宋" w:eastAsia="仿宋"/>
          <w:sz w:val="30"/>
          <w:b w:val="off"/>
          <w:color w:val="000000"/>
        </w:rPr>
        <w:t>73.46</w:t>
      </w:r>
      <w:r>
        <w:rPr>
          <w:rFonts w:ascii="仿宋" w:hAnsi="仿宋" w:cs="仿宋" w:eastAsia="仿宋"/>
          <w:sz w:val="30"/>
          <w:b w:val="off"/>
          <w:color w:val="000000"/>
        </w:rPr>
        <w:t>万元）</w:t>
      </w:r>
      <w:r>
        <w:rPr>
          <w:rFonts w:ascii="仿宋" w:hAnsi="仿宋" w:cs="仿宋" w:eastAsia="仿宋"/>
          <w:sz w:val="30"/>
          <w:b w:val="off"/>
          <w:color w:val="000000"/>
        </w:rPr>
        <w:t>，与上年预算相比增加5.32万元，主要原因是</w:t>
      </w:r>
      <w:r>
        <w:rPr>
          <w:rFonts w:ascii="仿宋" w:hAnsi="仿宋" w:cs="仿宋" w:eastAsia="仿宋"/>
          <w:sz w:val="30"/>
          <w:b w:val="off"/>
          <w:color w:val="000000"/>
        </w:rPr>
        <w:t>法律援助项目经费支出预算增加。</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1、“公共安全支出（类）”68.45万元</w:t>
      </w:r>
      <w:r>
        <w:rPr>
          <w:rFonts w:ascii="仿宋" w:hAnsi="仿宋" w:cs="仿宋" w:eastAsia="仿宋"/>
          <w:sz w:val="30"/>
          <w:b w:val="off"/>
          <w:color w:val="000000"/>
        </w:rPr>
        <w:t>，与上年预算相比增加5.38万元，主要原因是</w:t>
      </w:r>
      <w:r>
        <w:rPr>
          <w:rFonts w:ascii="仿宋" w:hAnsi="仿宋" w:cs="仿宋" w:eastAsia="仿宋"/>
          <w:sz w:val="30"/>
          <w:b w:val="off"/>
          <w:color w:val="000000"/>
        </w:rPr>
        <w:t>法律援助项目经费支出预算增加。</w:t>
      </w:r>
      <w:r>
        <w:rPr>
          <w:rFonts w:ascii="仿宋" w:hAnsi="仿宋" w:cs="仿宋" w:eastAsia="仿宋"/>
          <w:sz w:val="30"/>
          <w:b w:val="off"/>
          <w:color w:val="000000"/>
        </w:rPr>
        <w:t>其中：</w:t>
      </w:r>
      <w:r>
        <w:rPr>
          <w:rFonts w:ascii="仿宋" w:hAnsi="仿宋" w:cs="仿宋" w:eastAsia="仿宋"/>
          <w:sz w:val="30"/>
          <w:b w:val="off"/>
          <w:color w:val="000000"/>
        </w:rPr>
        <w:t>“司法（款）”68.45万元，包括：</w:t>
      </w:r>
      <w:r>
        <w:rPr>
          <w:rFonts w:ascii="仿宋" w:hAnsi="仿宋" w:cs="仿宋" w:eastAsia="仿宋"/>
          <w:sz w:val="30"/>
          <w:b w:val="off"/>
          <w:color w:val="000000"/>
        </w:rPr>
        <w:t>“公共法律服务（项）”10.00万元，</w:t>
      </w:r>
      <w:r>
        <w:rPr>
          <w:rFonts w:ascii="仿宋" w:hAnsi="仿宋" w:cs="仿宋" w:eastAsia="仿宋"/>
          <w:sz w:val="30"/>
          <w:b w:val="off"/>
          <w:color w:val="000000"/>
        </w:rPr>
        <w:t>主要用于</w:t>
      </w:r>
      <w:r>
        <w:rPr>
          <w:rFonts w:ascii="仿宋" w:hAnsi="仿宋" w:cs="仿宋" w:eastAsia="仿宋"/>
          <w:sz w:val="30"/>
          <w:b w:val="off"/>
          <w:color w:val="000000"/>
        </w:rPr>
        <w:t>法律援助项目支出</w:t>
      </w:r>
      <w:r>
        <w:rPr>
          <w:rFonts w:ascii="仿宋" w:hAnsi="仿宋" w:cs="仿宋" w:eastAsia="仿宋"/>
          <w:sz w:val="30"/>
          <w:b w:val="off"/>
          <w:color w:val="000000"/>
        </w:rPr>
        <w:t>；</w:t>
      </w:r>
      <w:r>
        <w:rPr>
          <w:rFonts w:ascii="仿宋" w:hAnsi="仿宋" w:cs="仿宋" w:eastAsia="仿宋"/>
          <w:sz w:val="30"/>
          <w:b w:val="off"/>
          <w:color w:val="000000"/>
        </w:rPr>
        <w:t>“事业运行（司法）（项）”58.45万元，</w:t>
      </w:r>
      <w:r>
        <w:rPr>
          <w:rFonts w:ascii="仿宋" w:hAnsi="仿宋" w:cs="仿宋" w:eastAsia="仿宋"/>
          <w:sz w:val="30"/>
          <w:b w:val="off"/>
          <w:color w:val="000000"/>
        </w:rPr>
        <w:t>主要用于</w:t>
      </w:r>
      <w:r>
        <w:rPr>
          <w:rFonts w:ascii="仿宋" w:hAnsi="仿宋" w:cs="仿宋" w:eastAsia="仿宋"/>
          <w:sz w:val="30"/>
          <w:b w:val="off"/>
          <w:color w:val="000000"/>
        </w:rPr>
        <w:t>事业单位基本支出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2、“教育支出（类）”0.06万元</w:t>
      </w:r>
      <w:r>
        <w:rPr>
          <w:rFonts w:ascii="仿宋" w:hAnsi="仿宋" w:cs="仿宋" w:eastAsia="仿宋"/>
          <w:sz w:val="30"/>
          <w:b w:val="off"/>
          <w:color w:val="000000"/>
        </w:rPr>
        <w:t>，与上年相同</w:t>
      </w:r>
      <w:r>
        <w:rPr>
          <w:rFonts w:ascii="仿宋" w:hAnsi="仿宋" w:cs="仿宋" w:eastAsia="仿宋"/>
          <w:sz w:val="30"/>
          <w:b w:val="off"/>
          <w:color w:val="000000"/>
        </w:rPr>
        <w:t>其中：</w:t>
      </w:r>
      <w:r>
        <w:rPr>
          <w:rFonts w:ascii="仿宋" w:hAnsi="仿宋" w:cs="仿宋" w:eastAsia="仿宋"/>
          <w:sz w:val="30"/>
          <w:b w:val="off"/>
          <w:color w:val="000000"/>
        </w:rPr>
        <w:t>“进修及培训（款）”0.06万元，包括：</w:t>
      </w:r>
      <w:r>
        <w:rPr>
          <w:rFonts w:ascii="仿宋" w:hAnsi="仿宋" w:cs="仿宋" w:eastAsia="仿宋"/>
          <w:sz w:val="30"/>
          <w:b w:val="off"/>
          <w:color w:val="000000"/>
        </w:rPr>
        <w:t>“培训支出（项）”0.06万元，</w:t>
      </w:r>
      <w:r>
        <w:rPr>
          <w:rFonts w:ascii="仿宋" w:hAnsi="仿宋" w:cs="仿宋" w:eastAsia="仿宋"/>
          <w:sz w:val="30"/>
          <w:b w:val="off"/>
          <w:color w:val="000000"/>
        </w:rPr>
        <w:t>主要用于</w:t>
      </w:r>
      <w:r>
        <w:rPr>
          <w:rFonts w:ascii="仿宋" w:hAnsi="仿宋" w:cs="仿宋" w:eastAsia="仿宋"/>
          <w:sz w:val="30"/>
          <w:b w:val="off"/>
          <w:color w:val="000000"/>
        </w:rPr>
        <w:t>培训支出</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3、“社会保障和就业支出（类）”7.08万元</w:t>
      </w:r>
      <w:r>
        <w:rPr>
          <w:rFonts w:ascii="仿宋" w:hAnsi="仿宋" w:cs="仿宋" w:eastAsia="仿宋"/>
          <w:sz w:val="30"/>
          <w:b w:val="off"/>
          <w:color w:val="000000"/>
        </w:rPr>
        <w:t>，与上年预算相比增加0.06万元，主要原因是</w:t>
      </w:r>
      <w:r>
        <w:rPr>
          <w:rFonts w:ascii="仿宋" w:hAnsi="仿宋" w:cs="仿宋" w:eastAsia="仿宋"/>
          <w:sz w:val="30"/>
          <w:b w:val="off"/>
          <w:color w:val="000000"/>
        </w:rPr>
        <w:t>社保缴费基数增加。</w:t>
      </w:r>
      <w:r>
        <w:rPr>
          <w:rFonts w:ascii="仿宋" w:hAnsi="仿宋" w:cs="仿宋" w:eastAsia="仿宋"/>
          <w:sz w:val="30"/>
          <w:b w:val="off"/>
          <w:color w:val="000000"/>
        </w:rPr>
        <w:t>其中：</w:t>
      </w:r>
      <w:r>
        <w:rPr>
          <w:rFonts w:ascii="仿宋" w:hAnsi="仿宋" w:cs="仿宋" w:eastAsia="仿宋"/>
          <w:sz w:val="30"/>
          <w:b w:val="off"/>
          <w:color w:val="000000"/>
        </w:rPr>
        <w:t>“行政事业单位养老支出（款）”7.08万元，包括：</w:t>
      </w:r>
      <w:r>
        <w:rPr>
          <w:rFonts w:ascii="仿宋" w:hAnsi="仿宋" w:cs="仿宋" w:eastAsia="仿宋"/>
          <w:sz w:val="30"/>
          <w:b w:val="off"/>
          <w:color w:val="000000"/>
        </w:rPr>
        <w:t>“机关事业单位基本养老保险缴费支出（项）”4.72万元，</w:t>
      </w:r>
      <w:r>
        <w:rPr>
          <w:rFonts w:ascii="仿宋" w:hAnsi="仿宋" w:cs="仿宋" w:eastAsia="仿宋"/>
          <w:sz w:val="30"/>
          <w:b w:val="off"/>
          <w:color w:val="000000"/>
        </w:rPr>
        <w:t>主要用于</w:t>
      </w:r>
      <w:r>
        <w:rPr>
          <w:rFonts w:ascii="仿宋" w:hAnsi="仿宋" w:cs="仿宋" w:eastAsia="仿宋"/>
          <w:sz w:val="30"/>
          <w:b w:val="off"/>
          <w:color w:val="000000"/>
        </w:rPr>
        <w:t>养老保险缴费</w:t>
      </w:r>
      <w:r>
        <w:rPr>
          <w:rFonts w:ascii="仿宋" w:hAnsi="仿宋" w:cs="仿宋" w:eastAsia="仿宋"/>
          <w:sz w:val="30"/>
          <w:b w:val="off"/>
          <w:color w:val="000000"/>
        </w:rPr>
        <w:t>；</w:t>
      </w:r>
      <w:r>
        <w:rPr>
          <w:rFonts w:ascii="仿宋" w:hAnsi="仿宋" w:cs="仿宋" w:eastAsia="仿宋"/>
          <w:sz w:val="30"/>
          <w:b w:val="off"/>
          <w:color w:val="000000"/>
        </w:rPr>
        <w:t>“机关事业单位职业年金缴费支出（项）”2.36万元，</w:t>
      </w:r>
      <w:r>
        <w:rPr>
          <w:rFonts w:ascii="仿宋" w:hAnsi="仿宋" w:cs="仿宋" w:eastAsia="仿宋"/>
          <w:sz w:val="30"/>
          <w:b w:val="off"/>
          <w:color w:val="000000"/>
        </w:rPr>
        <w:t>主要用于</w:t>
      </w:r>
      <w:r>
        <w:rPr>
          <w:rFonts w:ascii="仿宋" w:hAnsi="仿宋" w:cs="仿宋" w:eastAsia="仿宋"/>
          <w:sz w:val="30"/>
          <w:b w:val="off"/>
          <w:color w:val="000000"/>
        </w:rPr>
        <w:t>职业年金缴费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4、“卫生健康支出（类）”3.19万元</w:t>
      </w:r>
      <w:r>
        <w:rPr>
          <w:rFonts w:ascii="仿宋" w:hAnsi="仿宋" w:cs="仿宋" w:eastAsia="仿宋"/>
          <w:sz w:val="30"/>
          <w:b w:val="off"/>
          <w:color w:val="000000"/>
        </w:rPr>
        <w:t>，与上年预算相比减少0.13万元，主要原因是</w:t>
      </w:r>
      <w:r>
        <w:rPr>
          <w:rFonts w:ascii="仿宋" w:hAnsi="仿宋" w:cs="仿宋" w:eastAsia="仿宋"/>
          <w:sz w:val="30"/>
          <w:b w:val="off"/>
          <w:color w:val="000000"/>
        </w:rPr>
        <w:t>社保缴费基数增加。</w:t>
      </w:r>
      <w:r>
        <w:rPr>
          <w:rFonts w:ascii="仿宋" w:hAnsi="仿宋" w:cs="仿宋" w:eastAsia="仿宋"/>
          <w:sz w:val="30"/>
          <w:b w:val="off"/>
          <w:color w:val="000000"/>
        </w:rPr>
        <w:t>其中：</w:t>
      </w:r>
      <w:r>
        <w:rPr>
          <w:rFonts w:ascii="仿宋" w:hAnsi="仿宋" w:cs="仿宋" w:eastAsia="仿宋"/>
          <w:sz w:val="30"/>
          <w:b w:val="off"/>
          <w:color w:val="000000"/>
        </w:rPr>
        <w:t>“行政事业单位医疗（款）”3.19万元，包括：</w:t>
      </w:r>
      <w:r>
        <w:rPr>
          <w:rFonts w:ascii="仿宋" w:hAnsi="仿宋" w:cs="仿宋" w:eastAsia="仿宋"/>
          <w:sz w:val="30"/>
          <w:b w:val="off"/>
          <w:color w:val="000000"/>
        </w:rPr>
        <w:t>“事业单位医疗（项）”2.95万元，</w:t>
      </w:r>
      <w:r>
        <w:rPr>
          <w:rFonts w:ascii="仿宋" w:hAnsi="仿宋" w:cs="仿宋" w:eastAsia="仿宋"/>
          <w:sz w:val="30"/>
          <w:b w:val="off"/>
          <w:color w:val="000000"/>
        </w:rPr>
        <w:t>主要用于</w:t>
      </w:r>
      <w:r>
        <w:rPr>
          <w:rFonts w:ascii="仿宋" w:hAnsi="仿宋" w:cs="仿宋" w:eastAsia="仿宋"/>
          <w:sz w:val="30"/>
          <w:b w:val="off"/>
          <w:color w:val="000000"/>
        </w:rPr>
        <w:t>事业单位医疗保险缴费</w:t>
      </w:r>
      <w:r>
        <w:rPr>
          <w:rFonts w:ascii="仿宋" w:hAnsi="仿宋" w:cs="仿宋" w:eastAsia="仿宋"/>
          <w:sz w:val="30"/>
          <w:b w:val="off"/>
          <w:color w:val="000000"/>
        </w:rPr>
        <w:t>；</w:t>
      </w:r>
      <w:r>
        <w:rPr>
          <w:rFonts w:ascii="仿宋" w:hAnsi="仿宋" w:cs="仿宋" w:eastAsia="仿宋"/>
          <w:sz w:val="30"/>
          <w:b w:val="off"/>
          <w:color w:val="000000"/>
        </w:rPr>
        <w:t>“其他行政事业单位医疗支出（项）”0.25万元，</w:t>
      </w:r>
      <w:r>
        <w:rPr>
          <w:rFonts w:ascii="仿宋" w:hAnsi="仿宋" w:cs="仿宋" w:eastAsia="仿宋"/>
          <w:sz w:val="30"/>
          <w:b w:val="off"/>
          <w:color w:val="000000"/>
        </w:rPr>
        <w:t>主要用于</w:t>
      </w:r>
      <w:r>
        <w:rPr>
          <w:rFonts w:ascii="仿宋" w:hAnsi="仿宋" w:cs="仿宋" w:eastAsia="仿宋"/>
          <w:sz w:val="30"/>
          <w:b w:val="off"/>
          <w:color w:val="000000"/>
        </w:rPr>
        <w:t>事业单位补充医疗保险缴费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天津市西青区法律援助中心单位2025年一般公共预算基本支出 68.78万元</w:t>
      </w:r>
      <w:r>
        <w:rPr>
          <w:rFonts w:ascii="仿宋" w:hAnsi="仿宋" w:cs="仿宋" w:eastAsia="仿宋"/>
          <w:sz w:val="30"/>
          <w:b w:val="off"/>
          <w:color w:val="000000"/>
        </w:rPr>
        <w:t>，与上年预算相比增加0.32万元，主要原因是</w:t>
      </w:r>
      <w:r>
        <w:rPr>
          <w:rFonts w:ascii="仿宋" w:hAnsi="仿宋" w:cs="仿宋" w:eastAsia="仿宋"/>
          <w:sz w:val="30"/>
          <w:b w:val="off"/>
          <w:color w:val="000000"/>
        </w:rPr>
        <w:t>社保缴费基数增加。</w:t>
      </w:r>
      <w:r>
        <w:rPr>
          <w:rFonts w:ascii="仿宋" w:hAnsi="仿宋" w:cs="仿宋" w:eastAsia="仿宋"/>
          <w:sz w:val="30"/>
          <w:b w:val="off"/>
          <w:color w:val="000000"/>
        </w:rPr>
        <w:t>其中：</w:t>
      </w:r>
      <w:r>
        <w:rPr>
          <w:rFonts w:ascii="仿宋" w:hAnsi="仿宋" w:cs="仿宋" w:eastAsia="仿宋"/>
          <w:sz w:val="30"/>
          <w:b w:val="off"/>
          <w:color w:val="000000"/>
        </w:rPr>
        <w:t>人员经费 61.86万元，主要包括：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公用经费6.92万元，主要包括：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2024年和2025年未安排“三公”经费预算。</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2024年和2025年未安排因公出国（境）费预算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2024年和2025年未安排公务用车运行费预算</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2024年和2025年未安排公务用车购置费预算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2024年和2025年未安排公务接待费预算</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2025年天津市西青区法律援助中心单位预算中没有使用政府性基金预算安排的支出。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2025年天津市西青区法律援助中心单位预算中没有使用国有资本经营预算安排的支出。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4.25</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4.25</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物业管理服务2.16万元、餐饮服务2.09万元。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天津市西青区法律援助中心单位2025年实行绩效目标管理的项目</w:t>
      </w:r>
      <w:r>
        <w:rPr>
          <w:rFonts w:ascii="仿宋" w:hAnsi="仿宋" w:cs="仿宋" w:eastAsia="仿宋"/>
          <w:sz w:val="30"/>
          <w:b w:val="off"/>
          <w:color w:val="000000"/>
        </w:rPr>
        <w:t>1</w:t>
      </w:r>
      <w:r>
        <w:rPr>
          <w:rFonts w:ascii="仿宋" w:hAnsi="仿宋" w:cs="仿宋" w:eastAsia="仿宋"/>
          <w:sz w:val="30"/>
          <w:b w:val="off"/>
          <w:color w:val="000000"/>
        </w:rPr>
        <w:t>个，涉及预算金额</w:t>
      </w:r>
      <w:r>
        <w:rPr>
          <w:rFonts w:ascii="仿宋" w:hAnsi="仿宋" w:cs="仿宋" w:eastAsia="仿宋"/>
          <w:sz w:val="30"/>
          <w:b w:val="off"/>
          <w:color w:val="000000"/>
        </w:rPr>
        <w:t>10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2025-03-21T01:29:10Z</dcterms:created>
  <dc:creator>Apache POI</dc:creator>
</cp:coreProperties>
</file>